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C63" w14:textId="5C3CF0C2" w:rsidR="003402B9" w:rsidRPr="003402B9" w:rsidRDefault="00901E25" w:rsidP="003402B9">
      <w:pPr>
        <w:pStyle w:val="Caption"/>
      </w:pPr>
      <w:r>
        <w:t xml:space="preserve">1FP416 Počítačová podpora oceňování </w:t>
      </w:r>
      <w:proofErr w:type="gramStart"/>
      <w:r>
        <w:t xml:space="preserve">podniku - </w:t>
      </w:r>
      <w:r w:rsidR="00FD39AF">
        <w:t>Z</w:t>
      </w:r>
      <w:r w:rsidR="0025563C" w:rsidRPr="0025563C">
        <w:t>S</w:t>
      </w:r>
      <w:proofErr w:type="gramEnd"/>
      <w:r w:rsidR="0025563C" w:rsidRPr="0025563C">
        <w:t xml:space="preserve"> 20</w:t>
      </w:r>
      <w:r w:rsidR="009F6A06">
        <w:t>2</w:t>
      </w:r>
      <w:r w:rsidR="00FD39AF">
        <w:t>3</w:t>
      </w:r>
      <w:r w:rsidR="0025563C" w:rsidRPr="0025563C">
        <w:t>/20</w:t>
      </w:r>
      <w:r w:rsidR="00C27037">
        <w:t>2</w:t>
      </w:r>
      <w:r w:rsidR="00FD39AF">
        <w:t>4</w:t>
      </w:r>
    </w:p>
    <w:p w14:paraId="2725D5B7" w14:textId="77777777" w:rsidR="00901E25" w:rsidRDefault="00901E25">
      <w:pPr>
        <w:spacing w:before="80" w:after="120" w:line="240" w:lineRule="auto"/>
        <w:rPr>
          <w:b/>
          <w:sz w:val="22"/>
        </w:rPr>
      </w:pPr>
      <w:r>
        <w:rPr>
          <w:b/>
          <w:sz w:val="22"/>
        </w:rPr>
        <w:t>ORIENTAČNÍ PROGRAM CVIČENÍ</w:t>
      </w:r>
      <w:r>
        <w:rPr>
          <w:sz w:val="22"/>
        </w:rPr>
        <w:t xml:space="preserve"> </w:t>
      </w:r>
      <w:r>
        <w:rPr>
          <w:i/>
          <w:sz w:val="22"/>
        </w:rPr>
        <w:t>(mírné změny programu vyhrazeny):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6861"/>
        <w:gridCol w:w="1928"/>
      </w:tblGrid>
      <w:tr w:rsidR="00901E25" w14:paraId="5CD68F9C" w14:textId="77777777" w:rsidTr="00703EBF">
        <w:trPr>
          <w:trHeight w:val="2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1849569" w14:textId="77777777" w:rsidR="00901E25" w:rsidRDefault="00901E25" w:rsidP="00AB7B41">
            <w:pPr>
              <w:spacing w:before="60" w:after="6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6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664C560" w14:textId="77777777" w:rsidR="00901E25" w:rsidRDefault="00901E25" w:rsidP="00AB7B41">
            <w:pPr>
              <w:spacing w:before="60" w:after="60" w:line="240" w:lineRule="auto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62F49A76" w14:textId="77777777" w:rsidR="00901E25" w:rsidRDefault="00901E25" w:rsidP="00AB7B41">
            <w:pPr>
              <w:spacing w:before="60" w:after="60" w:line="240" w:lineRule="auto"/>
              <w:ind w:lef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Využití v 1FP413</w:t>
            </w:r>
          </w:p>
        </w:tc>
      </w:tr>
      <w:tr w:rsidR="00E85DE0" w14:paraId="1581659F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03F58" w14:textId="77777777" w:rsidR="00E85DE0" w:rsidRDefault="00E85DE0" w:rsidP="00E85DE0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9AED7B" w14:textId="5FEDB2AF" w:rsidR="00E85DE0" w:rsidRDefault="00FD39AF" w:rsidP="00EA09FB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E85DE0">
              <w:rPr>
                <w:sz w:val="22"/>
              </w:rPr>
              <w:t>.</w:t>
            </w:r>
            <w:r w:rsidR="00EA09FB">
              <w:rPr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 w:rsidR="00E85DE0"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71B4" w14:textId="77777777" w:rsidR="00E85DE0" w:rsidRDefault="00E85DE0" w:rsidP="00E85DE0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 xml:space="preserve">Úvod. Zdroje informací pro oceňování podniku na internetu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8076B" w14:textId="77777777" w:rsidR="00E85DE0" w:rsidRDefault="00E85DE0" w:rsidP="00E85DE0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Strategická analýza</w:t>
            </w:r>
          </w:p>
        </w:tc>
      </w:tr>
      <w:tr w:rsidR="003308D1" w14:paraId="06A9C2BB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6E36" w14:textId="77777777" w:rsidR="003308D1" w:rsidRDefault="003308D1" w:rsidP="003308D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12CD88" w14:textId="34B66A64" w:rsidR="003308D1" w:rsidRDefault="003308D1" w:rsidP="003308D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F35430">
              <w:rPr>
                <w:sz w:val="22"/>
              </w:rPr>
              <w:t>7</w:t>
            </w:r>
            <w:r>
              <w:rPr>
                <w:sz w:val="22"/>
              </w:rPr>
              <w:t xml:space="preserve">. </w:t>
            </w:r>
            <w:r w:rsidR="00F35430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B1ED" w14:textId="21EBF23C" w:rsidR="003308D1" w:rsidRPr="004E5FB2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  <w:lang w:val="en-US"/>
              </w:rPr>
            </w:pPr>
            <w:r>
              <w:rPr>
                <w:sz w:val="22"/>
              </w:rPr>
              <w:t>Databáze českých firem (Magnus)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D8A91" w14:textId="77777777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Finanční analýza</w:t>
            </w:r>
          </w:p>
        </w:tc>
      </w:tr>
      <w:tr w:rsidR="003308D1" w14:paraId="629925B2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042B2" w14:textId="77777777" w:rsidR="003308D1" w:rsidRDefault="003308D1" w:rsidP="003308D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2B7A6F" w14:textId="4502BB02" w:rsidR="003308D1" w:rsidRDefault="009630D3" w:rsidP="003308D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3308D1">
              <w:rPr>
                <w:sz w:val="22"/>
              </w:rPr>
              <w:t xml:space="preserve">. </w:t>
            </w:r>
            <w:r>
              <w:rPr>
                <w:sz w:val="22"/>
              </w:rPr>
              <w:t>10</w:t>
            </w:r>
            <w:r w:rsidR="003308D1"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D103" w14:textId="0BDC0199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Databáze českých firem (Albertina)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32E05" w14:textId="02B8EBF7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Finanční analýza</w:t>
            </w:r>
          </w:p>
        </w:tc>
      </w:tr>
      <w:tr w:rsidR="003308D1" w14:paraId="2847B7EE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7FA21" w14:textId="77777777" w:rsidR="003308D1" w:rsidRDefault="003308D1" w:rsidP="003308D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537D02" w14:textId="19DCAB63" w:rsidR="003308D1" w:rsidRDefault="009630D3" w:rsidP="003308D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3308D1">
              <w:rPr>
                <w:sz w:val="22"/>
              </w:rPr>
              <w:t xml:space="preserve">. </w:t>
            </w:r>
            <w:r>
              <w:rPr>
                <w:sz w:val="22"/>
              </w:rPr>
              <w:t>10</w:t>
            </w:r>
            <w:r w:rsidR="003308D1"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855" w14:textId="3BBF5E5D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Databáze evropských firem spojená s analýzou (Orbis)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3D037" w14:textId="0BCA1D55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Finanční analýza</w:t>
            </w:r>
          </w:p>
        </w:tc>
      </w:tr>
      <w:tr w:rsidR="003308D1" w14:paraId="25F36632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55E1F" w14:textId="77777777" w:rsidR="003308D1" w:rsidRDefault="003308D1" w:rsidP="003308D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487C1E" w14:textId="397F5E25" w:rsidR="003308D1" w:rsidRDefault="003308D1" w:rsidP="003308D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9630D3">
              <w:rPr>
                <w:sz w:val="22"/>
              </w:rPr>
              <w:t>8</w:t>
            </w:r>
            <w:r w:rsidRPr="00A36170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9630D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EDB" w14:textId="41625E8A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Regresní analýza v Excelu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41E18" w14:textId="7FBAE4BE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Strategická analýza</w:t>
            </w:r>
          </w:p>
        </w:tc>
      </w:tr>
      <w:tr w:rsidR="003308D1" w14:paraId="778EBB4D" w14:textId="77777777" w:rsidTr="009A09A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7F927" w14:textId="77777777" w:rsidR="003308D1" w:rsidRDefault="003308D1" w:rsidP="003308D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CE4940" w14:textId="08201CA4" w:rsidR="003308D1" w:rsidRDefault="003308D1" w:rsidP="003308D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9630D3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  <w:r w:rsidR="009630D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EE4D" w14:textId="57AA0ECB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i/>
                <w:sz w:val="22"/>
              </w:rPr>
              <w:t>Samostatná práce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EAF79" w14:textId="32065FC8" w:rsidR="003308D1" w:rsidRDefault="003308D1" w:rsidP="003308D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</w:p>
        </w:tc>
      </w:tr>
      <w:tr w:rsidR="00AE66EF" w14:paraId="1F105DDD" w14:textId="77777777" w:rsidTr="009A09A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46D0A" w14:textId="77777777" w:rsidR="00AE66EF" w:rsidRDefault="00AE66EF" w:rsidP="00AE66EF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C7DA0B" w14:textId="556703C5" w:rsidR="00AE66EF" w:rsidRDefault="00AE66EF" w:rsidP="00AE66EF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1. 11.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C7CA" w14:textId="2BD06A0F" w:rsidR="00AE66EF" w:rsidRPr="002047FA" w:rsidRDefault="00CD6A11" w:rsidP="00AE66EF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i/>
                <w:sz w:val="22"/>
              </w:rPr>
              <w:t>Samostatná práce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16A85" w14:textId="4195325E" w:rsidR="00AE66EF" w:rsidRDefault="00AE66EF" w:rsidP="00AE66EF">
            <w:pPr>
              <w:numPr>
                <w:ilvl w:val="12"/>
                <w:numId w:val="0"/>
              </w:numPr>
              <w:spacing w:before="60" w:after="60" w:line="240" w:lineRule="auto"/>
              <w:jc w:val="left"/>
              <w:rPr>
                <w:sz w:val="22"/>
              </w:rPr>
            </w:pPr>
          </w:p>
        </w:tc>
      </w:tr>
      <w:tr w:rsidR="00CD6A11" w14:paraId="0624B86F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DB031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8D1787" w14:textId="2FD20B61" w:rsidR="00CD6A11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8. 11.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3B6" w14:textId="5B7DE667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sz w:val="22"/>
              </w:rPr>
              <w:t>Zdroje informací na internetu – diskontní míra (sylabus z 1. hodiny)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43366" w14:textId="174B6D64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7CD6F539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42ED9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462156" w14:textId="68C05CD2" w:rsidR="00CD6A11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F95797">
              <w:rPr>
                <w:sz w:val="22"/>
              </w:rPr>
              <w:t>.</w:t>
            </w:r>
            <w:r>
              <w:rPr>
                <w:sz w:val="22"/>
              </w:rPr>
              <w:t xml:space="preserve"> 11</w:t>
            </w:r>
            <w:r w:rsidRPr="00F95797"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64D" w14:textId="0AE344C1" w:rsidR="00CD6A11" w:rsidRPr="00D535C6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jc w:val="left"/>
              <w:rPr>
                <w:sz w:val="22"/>
              </w:rPr>
            </w:pPr>
            <w:r>
              <w:rPr>
                <w:sz w:val="22"/>
              </w:rPr>
              <w:t>Zdroje informací na internetu, Orbis – diskontní míra a tržní porovnání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DAB72" w14:textId="606984FC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1AAE986F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8A907A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D5936E" w14:textId="4FBAED91" w:rsidR="00CD6A11" w:rsidRPr="00476E44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22. 11.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A725" w14:textId="391BD28B" w:rsidR="00CD6A11" w:rsidRPr="000D23F6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Sestavení zjednodušené prognózy generátorů hodnoty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A1B84" w14:textId="6311F04D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7BF9B671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1A8901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06CB6D" w14:textId="1F1E195D" w:rsidR="00CD6A11" w:rsidRPr="00476E44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476E44">
              <w:rPr>
                <w:sz w:val="22"/>
              </w:rPr>
              <w:t>.</w:t>
            </w:r>
            <w:r>
              <w:rPr>
                <w:sz w:val="22"/>
              </w:rPr>
              <w:t xml:space="preserve"> 11</w:t>
            </w:r>
            <w:r w:rsidRPr="00476E44"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C2D3" w14:textId="061FC081" w:rsidR="00CD6A11" w:rsidRPr="00DC244E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Sestavení zjednodušeného ocenění (DCF a tržní porovnání)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D1BA0" w14:textId="73C12C3F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007BCBC2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90DC7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F26787" w14:textId="6DA839BC" w:rsidR="00CD6A11" w:rsidRPr="00115EA0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6. 12.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96E4" w14:textId="66BCC229" w:rsidR="00CD6A11" w:rsidRPr="002047FA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sz w:val="22"/>
              </w:rPr>
            </w:pPr>
            <w:r>
              <w:rPr>
                <w:i/>
                <w:sz w:val="22"/>
              </w:rPr>
              <w:t>Samostatná práce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B4B12" w14:textId="1F3780FC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163BF128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F57BB9" w14:textId="77777777" w:rsidR="00CD6A11" w:rsidRDefault="00CD6A11" w:rsidP="00CD6A11">
            <w:pPr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983A67" w14:textId="3E53A3E9" w:rsidR="00CD6A11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13. 1</w:t>
            </w:r>
            <w:r w:rsidR="00006D71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6539" w14:textId="2F8DD6FC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i/>
                <w:sz w:val="22"/>
              </w:rPr>
            </w:pPr>
            <w:r>
              <w:rPr>
                <w:i/>
                <w:sz w:val="22"/>
              </w:rPr>
              <w:t>Samostatná práce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91373" w14:textId="71D854A9" w:rsidR="00CD6A11" w:rsidRDefault="00006D7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Ocenění</w:t>
            </w:r>
          </w:p>
        </w:tc>
      </w:tr>
      <w:tr w:rsidR="00CD6A11" w14:paraId="7A39D050" w14:textId="77777777" w:rsidTr="00703E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4FA86" w14:textId="77777777" w:rsidR="00CD6A11" w:rsidRDefault="00CD6A11" w:rsidP="00CD6A11">
            <w:pPr>
              <w:tabs>
                <w:tab w:val="left" w:pos="360"/>
              </w:tabs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BBBE58" w14:textId="29ECC3FE" w:rsidR="00CD6A11" w:rsidRDefault="00CD6A11" w:rsidP="00CD6A1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006D71">
              <w:rPr>
                <w:sz w:val="22"/>
              </w:rPr>
              <w:t>5</w:t>
            </w:r>
            <w:r>
              <w:rPr>
                <w:sz w:val="22"/>
              </w:rPr>
              <w:t xml:space="preserve">. </w:t>
            </w:r>
            <w:r w:rsidR="00006D71">
              <w:rPr>
                <w:sz w:val="22"/>
              </w:rPr>
              <w:t>12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23BD" w14:textId="01C05926" w:rsidR="00CD6A11" w:rsidRPr="005F3E82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ind w:left="113"/>
              <w:rPr>
                <w:iCs/>
                <w:sz w:val="22"/>
              </w:rPr>
            </w:pPr>
            <w:r w:rsidRPr="005F3E82">
              <w:rPr>
                <w:iCs/>
                <w:sz w:val="22"/>
              </w:rPr>
              <w:t>Deadline pro odevzdání seminární práce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1E778" w14:textId="77777777" w:rsidR="00CD6A11" w:rsidRDefault="00CD6A11" w:rsidP="00CD6A11">
            <w:pPr>
              <w:numPr>
                <w:ilvl w:val="12"/>
                <w:numId w:val="0"/>
              </w:numPr>
              <w:spacing w:before="60" w:after="60" w:line="240" w:lineRule="auto"/>
              <w:rPr>
                <w:sz w:val="22"/>
              </w:rPr>
            </w:pPr>
          </w:p>
        </w:tc>
      </w:tr>
    </w:tbl>
    <w:p w14:paraId="1B5AC190" w14:textId="77777777" w:rsidR="00AB7B41" w:rsidRDefault="00AB7B41">
      <w:pPr>
        <w:spacing w:before="120" w:after="120" w:line="240" w:lineRule="auto"/>
        <w:rPr>
          <w:b/>
        </w:rPr>
      </w:pPr>
    </w:p>
    <w:p w14:paraId="03C07739" w14:textId="77777777" w:rsidR="00901E25" w:rsidRDefault="00901E25">
      <w:pPr>
        <w:spacing w:before="120" w:after="120" w:line="240" w:lineRule="auto"/>
        <w:rPr>
          <w:b/>
        </w:rPr>
      </w:pPr>
      <w:r>
        <w:rPr>
          <w:b/>
        </w:rPr>
        <w:t xml:space="preserve">PODMÍNKY </w:t>
      </w:r>
      <w:r w:rsidR="0021627F">
        <w:rPr>
          <w:b/>
        </w:rPr>
        <w:t>UKONČENÍ</w:t>
      </w:r>
      <w:r>
        <w:rPr>
          <w:b/>
        </w:rPr>
        <w:t>:</w:t>
      </w:r>
    </w:p>
    <w:p w14:paraId="09AA8B3E" w14:textId="6635BFB2" w:rsidR="00AB7B41" w:rsidRDefault="00901E25" w:rsidP="00AB7B41">
      <w:pPr>
        <w:spacing w:after="240" w:line="240" w:lineRule="auto"/>
        <w:rPr>
          <w:sz w:val="22"/>
          <w:szCs w:val="22"/>
        </w:rPr>
      </w:pPr>
      <w:r w:rsidRPr="007221BD">
        <w:rPr>
          <w:sz w:val="22"/>
          <w:szCs w:val="22"/>
        </w:rPr>
        <w:t xml:space="preserve">Zpracování seminární práce, ve které bude na vybraném podniku prezentováno využití programů a zdrojů dat probíraných na cvičeních. Podnik si zvolí každý student sám, musí se však jednat o podnik, který </w:t>
      </w:r>
      <w:r w:rsidR="009627C5">
        <w:rPr>
          <w:sz w:val="22"/>
          <w:szCs w:val="22"/>
        </w:rPr>
        <w:t>má finanční výkazy</w:t>
      </w:r>
      <w:r w:rsidRPr="007221BD">
        <w:rPr>
          <w:sz w:val="22"/>
          <w:szCs w:val="22"/>
        </w:rPr>
        <w:t xml:space="preserve"> v databázi </w:t>
      </w:r>
      <w:r w:rsidR="009627C5">
        <w:rPr>
          <w:sz w:val="22"/>
          <w:szCs w:val="22"/>
        </w:rPr>
        <w:t>Albertina</w:t>
      </w:r>
      <w:r w:rsidR="00FA59B9">
        <w:rPr>
          <w:sz w:val="22"/>
          <w:szCs w:val="22"/>
        </w:rPr>
        <w:t>/Magnus</w:t>
      </w:r>
      <w:r w:rsidR="009627C5">
        <w:rPr>
          <w:sz w:val="22"/>
          <w:szCs w:val="22"/>
        </w:rPr>
        <w:t xml:space="preserve"> a</w:t>
      </w:r>
      <w:r w:rsidRPr="007221BD">
        <w:rPr>
          <w:sz w:val="22"/>
          <w:szCs w:val="22"/>
        </w:rPr>
        <w:t xml:space="preserve"> </w:t>
      </w:r>
      <w:r w:rsidR="006D276B">
        <w:rPr>
          <w:sz w:val="22"/>
          <w:szCs w:val="22"/>
        </w:rPr>
        <w:t>Orbis</w:t>
      </w:r>
      <w:r w:rsidRPr="007221BD">
        <w:rPr>
          <w:sz w:val="22"/>
          <w:szCs w:val="22"/>
        </w:rPr>
        <w:t>, aby bylo možné zpracovat všechny potřebné části seminární práce.</w:t>
      </w:r>
    </w:p>
    <w:p w14:paraId="6EAC9293" w14:textId="77777777" w:rsidR="00901E25" w:rsidRPr="007221BD" w:rsidRDefault="00901E25" w:rsidP="00AB7B41">
      <w:p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Student, který má souběžně Praktika z</w:t>
      </w:r>
      <w:r w:rsidR="00AB7B41">
        <w:rPr>
          <w:sz w:val="22"/>
          <w:szCs w:val="22"/>
        </w:rPr>
        <w:t> </w:t>
      </w:r>
      <w:r>
        <w:rPr>
          <w:sz w:val="22"/>
          <w:szCs w:val="22"/>
        </w:rPr>
        <w:t>oceňování</w:t>
      </w:r>
      <w:r w:rsidR="00AB7B41">
        <w:rPr>
          <w:sz w:val="22"/>
          <w:szCs w:val="22"/>
        </w:rPr>
        <w:t>,</w:t>
      </w:r>
      <w:r>
        <w:rPr>
          <w:sz w:val="22"/>
          <w:szCs w:val="22"/>
        </w:rPr>
        <w:t xml:space="preserve"> si ale nemůže zvolit podnik, který se v daném semestru oceňuje na Praktikách. </w:t>
      </w:r>
    </w:p>
    <w:p w14:paraId="6D80156C" w14:textId="562014B4" w:rsidR="00BC35BD" w:rsidRDefault="00901E25" w:rsidP="00BC35BD">
      <w:pPr>
        <w:spacing w:after="120" w:line="240" w:lineRule="auto"/>
        <w:rPr>
          <w:sz w:val="22"/>
          <w:szCs w:val="22"/>
        </w:rPr>
      </w:pPr>
      <w:r w:rsidRPr="007221BD">
        <w:rPr>
          <w:sz w:val="22"/>
          <w:szCs w:val="22"/>
        </w:rPr>
        <w:t xml:space="preserve">Seminární práce se odevzdává </w:t>
      </w:r>
      <w:r>
        <w:rPr>
          <w:b/>
          <w:sz w:val="22"/>
          <w:szCs w:val="22"/>
        </w:rPr>
        <w:t>elektronicky</w:t>
      </w:r>
      <w:r w:rsidR="00BC35BD" w:rsidRPr="00BC35BD">
        <w:rPr>
          <w:sz w:val="22"/>
          <w:szCs w:val="22"/>
        </w:rPr>
        <w:t>,</w:t>
      </w:r>
      <w:r w:rsidRPr="00BC3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zaslaná na </w:t>
      </w:r>
      <w:r w:rsidR="00C31E16">
        <w:rPr>
          <w:sz w:val="22"/>
          <w:szCs w:val="22"/>
        </w:rPr>
        <w:t>long.pham</w:t>
      </w:r>
      <w:r>
        <w:rPr>
          <w:sz w:val="22"/>
          <w:szCs w:val="22"/>
        </w:rPr>
        <w:t>@vse.cz</w:t>
      </w:r>
      <w:r w:rsidR="00BC35BD">
        <w:rPr>
          <w:sz w:val="22"/>
          <w:szCs w:val="22"/>
        </w:rPr>
        <w:t>, a to dva soubory:</w:t>
      </w:r>
    </w:p>
    <w:p w14:paraId="65C2D288" w14:textId="77777777" w:rsidR="00BC35BD" w:rsidRPr="00BC35BD" w:rsidRDefault="00BC35BD" w:rsidP="00BC35BD">
      <w:pPr>
        <w:numPr>
          <w:ilvl w:val="0"/>
          <w:numId w:val="44"/>
        </w:numPr>
        <w:spacing w:after="120" w:line="240" w:lineRule="auto"/>
        <w:ind w:left="357" w:hanging="357"/>
        <w:rPr>
          <w:sz w:val="22"/>
          <w:szCs w:val="22"/>
        </w:rPr>
      </w:pPr>
      <w:r w:rsidRPr="00BC35BD">
        <w:rPr>
          <w:b/>
          <w:sz w:val="22"/>
          <w:szCs w:val="22"/>
        </w:rPr>
        <w:t>kompletní seminární práce</w:t>
      </w:r>
      <w:r>
        <w:rPr>
          <w:sz w:val="22"/>
          <w:szCs w:val="22"/>
        </w:rPr>
        <w:t xml:space="preserve"> se všemi náležitostmi jako</w:t>
      </w:r>
      <w:r w:rsidR="00901E25">
        <w:rPr>
          <w:sz w:val="22"/>
          <w:szCs w:val="22"/>
        </w:rPr>
        <w:t xml:space="preserve"> jeden soubor ve </w:t>
      </w:r>
      <w:r w:rsidR="00901E25" w:rsidRPr="00BC35BD">
        <w:rPr>
          <w:b/>
          <w:sz w:val="22"/>
          <w:szCs w:val="22"/>
        </w:rPr>
        <w:t>Wordu</w:t>
      </w:r>
      <w:r>
        <w:rPr>
          <w:sz w:val="22"/>
          <w:szCs w:val="22"/>
        </w:rPr>
        <w:t>,</w:t>
      </w:r>
      <w:r w:rsidR="00901E25" w:rsidRPr="007221BD">
        <w:rPr>
          <w:b/>
          <w:sz w:val="22"/>
          <w:szCs w:val="22"/>
        </w:rPr>
        <w:t xml:space="preserve"> </w:t>
      </w:r>
    </w:p>
    <w:p w14:paraId="7E13A6CF" w14:textId="77777777" w:rsidR="00901E25" w:rsidRDefault="00BC35BD" w:rsidP="00BC35BD">
      <w:pPr>
        <w:numPr>
          <w:ilvl w:val="0"/>
          <w:numId w:val="44"/>
        </w:numPr>
        <w:spacing w:after="240" w:line="240" w:lineRule="auto"/>
        <w:rPr>
          <w:sz w:val="22"/>
          <w:szCs w:val="22"/>
        </w:rPr>
      </w:pPr>
      <w:r>
        <w:rPr>
          <w:sz w:val="22"/>
          <w:szCs w:val="22"/>
        </w:rPr>
        <w:t>soubor v </w:t>
      </w:r>
      <w:r w:rsidRPr="00BC35BD">
        <w:rPr>
          <w:b/>
          <w:sz w:val="22"/>
          <w:szCs w:val="22"/>
        </w:rPr>
        <w:t>Excelu</w:t>
      </w:r>
      <w:r>
        <w:rPr>
          <w:sz w:val="22"/>
          <w:szCs w:val="22"/>
        </w:rPr>
        <w:t xml:space="preserve"> obsahující ty části, které byly v Excelu zpracovány s tím, že tabulky musí obsahovat všechny potřebné </w:t>
      </w:r>
      <w:r w:rsidRPr="00BC35BD">
        <w:rPr>
          <w:b/>
          <w:sz w:val="22"/>
          <w:szCs w:val="22"/>
        </w:rPr>
        <w:t>výpočty formou vzorců</w:t>
      </w:r>
      <w:r>
        <w:rPr>
          <w:sz w:val="22"/>
          <w:szCs w:val="22"/>
        </w:rPr>
        <w:t>, aby bylo možné provést kontrolu správnosti postupu (jde především o tyto části: časová a regresní prognóza trhu, generátory hodnoty, investovaný kapitál, FCFF, výpočet diskontní míry, výnosové ocenění, čtyři dílčí ocenění metodou tržního porovnání).</w:t>
      </w:r>
    </w:p>
    <w:p w14:paraId="52F3599F" w14:textId="77777777" w:rsidR="00BC35BD" w:rsidRPr="00BC35BD" w:rsidRDefault="00BC35BD">
      <w:pPr>
        <w:spacing w:after="120" w:line="240" w:lineRule="auto"/>
        <w:rPr>
          <w:b/>
          <w:sz w:val="22"/>
        </w:rPr>
      </w:pPr>
      <w:r>
        <w:rPr>
          <w:b/>
          <w:sz w:val="22"/>
        </w:rPr>
        <w:t>Práce ve Wordu nemusí obsahovat komentáře</w:t>
      </w:r>
      <w:r>
        <w:rPr>
          <w:sz w:val="22"/>
        </w:rPr>
        <w:t xml:space="preserve"> (s výjimkou odchylek od zadání, podrobného popisu jednotlivých složek nákladů vlastního kapitálu</w:t>
      </w:r>
      <w:r w:rsidR="00184821">
        <w:rPr>
          <w:sz w:val="22"/>
        </w:rPr>
        <w:t>, komentáře k tvorbě hodnoty v pokračující hodnot</w:t>
      </w:r>
      <w:r w:rsidR="00E4080D">
        <w:rPr>
          <w:sz w:val="22"/>
        </w:rPr>
        <w:t>ě</w:t>
      </w:r>
      <w:r>
        <w:rPr>
          <w:sz w:val="22"/>
        </w:rPr>
        <w:t xml:space="preserve"> a komentáře k volbě čtyř násobitelů a jejich hodnot – viz dále)</w:t>
      </w:r>
      <w:r>
        <w:rPr>
          <w:b/>
          <w:sz w:val="22"/>
        </w:rPr>
        <w:t>, ale všechny tabulky a grafy musejí být nadepsané tak, aby nebylo pochyb, co jejich jednotlivé části představují, u všech veličin musejí být uvedené jednotky, u HDP navíc i ceny, všechny výpočty musejí být rozepsány natolik transparentně, aby bylo jednoznačné, jak byly veličiny dopočteny.</w:t>
      </w:r>
    </w:p>
    <w:p w14:paraId="5CC1FD81" w14:textId="77777777" w:rsidR="00901E25" w:rsidRDefault="00901E25">
      <w:pPr>
        <w:spacing w:after="120" w:line="240" w:lineRule="auto"/>
        <w:rPr>
          <w:sz w:val="22"/>
          <w:szCs w:val="22"/>
        </w:rPr>
      </w:pPr>
      <w:r w:rsidRPr="007221BD">
        <w:rPr>
          <w:sz w:val="22"/>
          <w:szCs w:val="22"/>
        </w:rPr>
        <w:t xml:space="preserve">Seminární práci </w:t>
      </w:r>
      <w:r>
        <w:rPr>
          <w:sz w:val="22"/>
          <w:szCs w:val="22"/>
        </w:rPr>
        <w:t>může student zpracovat sám nebo ve dvojici</w:t>
      </w:r>
      <w:r w:rsidRPr="007221BD">
        <w:rPr>
          <w:sz w:val="22"/>
          <w:szCs w:val="22"/>
        </w:rPr>
        <w:t>.</w:t>
      </w:r>
    </w:p>
    <w:p w14:paraId="1927286A" w14:textId="77777777" w:rsidR="00AB7B41" w:rsidRPr="007221BD" w:rsidRDefault="00AB7B41">
      <w:pPr>
        <w:spacing w:after="120" w:line="240" w:lineRule="auto"/>
        <w:rPr>
          <w:sz w:val="22"/>
          <w:szCs w:val="22"/>
        </w:rPr>
      </w:pPr>
    </w:p>
    <w:p w14:paraId="0E46293A" w14:textId="77777777" w:rsidR="00901E25" w:rsidRDefault="00901E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4678"/>
        </w:tabs>
        <w:spacing w:after="0" w:line="80" w:lineRule="exact"/>
        <w:jc w:val="center"/>
      </w:pPr>
    </w:p>
    <w:p w14:paraId="34A84AD2" w14:textId="77777777" w:rsidR="00121B89" w:rsidRDefault="00121B89" w:rsidP="00121B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4678"/>
        </w:tabs>
        <w:spacing w:after="0" w:line="240" w:lineRule="exact"/>
        <w:jc w:val="center"/>
      </w:pPr>
      <w:r>
        <w:rPr>
          <w:b/>
        </w:rPr>
        <w:t>Internetová stránka</w:t>
      </w:r>
      <w:r w:rsidR="00901E25" w:rsidRPr="00193694">
        <w:rPr>
          <w:b/>
        </w:rPr>
        <w:t xml:space="preserve"> </w:t>
      </w:r>
      <w:r w:rsidR="00901E25">
        <w:rPr>
          <w:b/>
        </w:rPr>
        <w:t>1</w:t>
      </w:r>
      <w:r w:rsidR="00901E25" w:rsidRPr="00193694">
        <w:rPr>
          <w:b/>
        </w:rPr>
        <w:t>FP416</w:t>
      </w:r>
      <w:r w:rsidR="00490531" w:rsidRPr="00490531">
        <w:t>:</w:t>
      </w:r>
    </w:p>
    <w:p w14:paraId="374B2F55" w14:textId="77777777" w:rsidR="00121B89" w:rsidRDefault="00490531" w:rsidP="00121B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4678"/>
        </w:tabs>
        <w:spacing w:before="60" w:after="60" w:line="240" w:lineRule="exact"/>
        <w:jc w:val="center"/>
      </w:pPr>
      <w:r>
        <w:rPr>
          <w:b/>
        </w:rPr>
        <w:t>http://kfop.vse.cz – Pro studenty – Předměty oceňování</w:t>
      </w:r>
      <w:r w:rsidR="00DF4157">
        <w:rPr>
          <w:b/>
        </w:rPr>
        <w:t xml:space="preserve"> podniku</w:t>
      </w:r>
      <w:r>
        <w:rPr>
          <w:b/>
        </w:rPr>
        <w:t xml:space="preserve"> – 1FP416</w:t>
      </w:r>
    </w:p>
    <w:p w14:paraId="5A63AFF0" w14:textId="77777777" w:rsidR="00121B89" w:rsidRDefault="00121B89" w:rsidP="00121B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  <w:tab w:val="left" w:pos="4678"/>
        </w:tabs>
        <w:spacing w:before="60" w:after="60" w:line="240" w:lineRule="exact"/>
        <w:jc w:val="left"/>
      </w:pPr>
      <w:r>
        <w:t>Jsou zde zejména:</w:t>
      </w:r>
      <w:r>
        <w:tab/>
      </w:r>
      <w:r>
        <w:sym w:font="Symbol" w:char="F0B7"/>
      </w:r>
      <w:r>
        <w:t xml:space="preserve"> jako soubory ke stažení všechny sylaby a krátké návody</w:t>
      </w:r>
    </w:p>
    <w:p w14:paraId="3D615EC8" w14:textId="77777777" w:rsidR="00121B89" w:rsidRPr="00121B89" w:rsidRDefault="00121B89" w:rsidP="00121B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  <w:tab w:val="left" w:pos="4678"/>
        </w:tabs>
        <w:spacing w:after="0" w:line="240" w:lineRule="exact"/>
        <w:jc w:val="left"/>
      </w:pPr>
      <w:r>
        <w:t xml:space="preserve"> </w:t>
      </w:r>
      <w:r>
        <w:tab/>
      </w:r>
      <w:r>
        <w:sym w:font="Symbol" w:char="F0B7"/>
      </w:r>
      <w:r>
        <w:t xml:space="preserve">  konečný termín pro odevzdání seminární práce v aktuálním semestru</w:t>
      </w:r>
    </w:p>
    <w:p w14:paraId="5B7DFB44" w14:textId="77777777" w:rsidR="00901E25" w:rsidRDefault="00901E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4678"/>
        </w:tabs>
        <w:spacing w:after="0" w:line="80" w:lineRule="exact"/>
        <w:jc w:val="center"/>
      </w:pPr>
    </w:p>
    <w:p w14:paraId="0B1D4D07" w14:textId="77777777" w:rsidR="00901E25" w:rsidRDefault="00343B7B">
      <w:pPr>
        <w:spacing w:before="240" w:after="120" w:line="240" w:lineRule="auto"/>
        <w:rPr>
          <w:b/>
        </w:rPr>
      </w:pPr>
      <w:r>
        <w:rPr>
          <w:b/>
        </w:rPr>
        <w:br w:type="page"/>
      </w:r>
      <w:r w:rsidR="00901E25">
        <w:rPr>
          <w:b/>
        </w:rPr>
        <w:lastRenderedPageBreak/>
        <w:t>OBSAH SEMINÁRNÍ PRÁCE:</w:t>
      </w:r>
    </w:p>
    <w:p w14:paraId="7E20B98A" w14:textId="77777777" w:rsidR="00901E25" w:rsidRDefault="00901E25" w:rsidP="00807936">
      <w:pPr>
        <w:numPr>
          <w:ilvl w:val="0"/>
          <w:numId w:val="13"/>
        </w:numPr>
        <w:spacing w:before="120" w:after="120" w:line="240" w:lineRule="auto"/>
        <w:ind w:left="357" w:hanging="357"/>
        <w:jc w:val="left"/>
        <w:rPr>
          <w:sz w:val="22"/>
        </w:rPr>
      </w:pPr>
      <w:r>
        <w:rPr>
          <w:b/>
          <w:sz w:val="22"/>
          <w:u w:val="single"/>
        </w:rPr>
        <w:t>Základní informace o zvoleném podniku</w:t>
      </w:r>
      <w:r>
        <w:rPr>
          <w:sz w:val="22"/>
        </w:rPr>
        <w:t xml:space="preserve"> (název, sídlo, IČO, předmět činnosti)</w:t>
      </w:r>
      <w:r>
        <w:rPr>
          <w:sz w:val="22"/>
        </w:rPr>
        <w:br/>
      </w:r>
      <w:r>
        <w:rPr>
          <w:i/>
          <w:sz w:val="22"/>
        </w:rPr>
        <w:t xml:space="preserve">Zdroj informací: databáze firem </w:t>
      </w:r>
      <w:r w:rsidR="004F53F7">
        <w:rPr>
          <w:i/>
          <w:sz w:val="22"/>
        </w:rPr>
        <w:t>Albertina</w:t>
      </w:r>
    </w:p>
    <w:p w14:paraId="487AE595" w14:textId="77777777" w:rsidR="00901E25" w:rsidRDefault="00901E25" w:rsidP="00807936">
      <w:pPr>
        <w:numPr>
          <w:ilvl w:val="0"/>
          <w:numId w:val="13"/>
        </w:numPr>
        <w:spacing w:before="120" w:after="120" w:line="240" w:lineRule="auto"/>
        <w:ind w:left="357" w:hanging="357"/>
        <w:rPr>
          <w:sz w:val="22"/>
        </w:rPr>
      </w:pPr>
      <w:r>
        <w:rPr>
          <w:b/>
          <w:sz w:val="22"/>
          <w:u w:val="single"/>
        </w:rPr>
        <w:t>Datum</w:t>
      </w:r>
      <w:r>
        <w:rPr>
          <w:sz w:val="22"/>
        </w:rPr>
        <w:t xml:space="preserve">, ke kterému bude zpracováno </w:t>
      </w:r>
      <w:r w:rsidR="00DA25EB">
        <w:rPr>
          <w:sz w:val="22"/>
        </w:rPr>
        <w:t>zjednodušené</w:t>
      </w:r>
      <w:r>
        <w:rPr>
          <w:sz w:val="22"/>
        </w:rPr>
        <w:t xml:space="preserve"> ocenění. Jedná se o </w:t>
      </w:r>
      <w:r w:rsidR="00063C83">
        <w:rPr>
          <w:sz w:val="22"/>
        </w:rPr>
        <w:t>1. leden roku následujícího po roku</w:t>
      </w:r>
      <w:r>
        <w:rPr>
          <w:sz w:val="22"/>
        </w:rPr>
        <w:t>, ke kterému budou v databázích nalezeny poslední finanční výkazy</w:t>
      </w:r>
      <w:r w:rsidR="00063C83">
        <w:rPr>
          <w:sz w:val="22"/>
        </w:rPr>
        <w:t>.</w:t>
      </w:r>
      <w:r>
        <w:rPr>
          <w:sz w:val="22"/>
        </w:rPr>
        <w:t xml:space="preserve"> </w:t>
      </w:r>
      <w:r w:rsidR="00063C83">
        <w:rPr>
          <w:sz w:val="22"/>
        </w:rPr>
        <w:t>K tomuto datu</w:t>
      </w:r>
      <w:r>
        <w:rPr>
          <w:sz w:val="22"/>
        </w:rPr>
        <w:t xml:space="preserve"> budou vztaženy oceňovací výpočty</w:t>
      </w:r>
      <w:r w:rsidR="00DA25EB">
        <w:rPr>
          <w:sz w:val="22"/>
        </w:rPr>
        <w:t>, všechny analýzy za minulost musí končit před tímto datem</w:t>
      </w:r>
      <w:r>
        <w:rPr>
          <w:sz w:val="22"/>
        </w:rPr>
        <w:t>.</w:t>
      </w:r>
    </w:p>
    <w:p w14:paraId="2DC6681C" w14:textId="77777777" w:rsidR="00901E25" w:rsidRDefault="00901E25" w:rsidP="00807936">
      <w:pPr>
        <w:numPr>
          <w:ilvl w:val="0"/>
          <w:numId w:val="13"/>
        </w:numPr>
        <w:spacing w:before="120" w:after="120" w:line="240" w:lineRule="auto"/>
        <w:ind w:left="357" w:hanging="357"/>
        <w:rPr>
          <w:sz w:val="22"/>
        </w:rPr>
      </w:pPr>
      <w:r>
        <w:rPr>
          <w:b/>
          <w:sz w:val="22"/>
          <w:u w:val="single"/>
        </w:rPr>
        <w:t>Regresní analýza vývoje trhu</w:t>
      </w:r>
      <w:r>
        <w:rPr>
          <w:sz w:val="22"/>
        </w:rPr>
        <w:t xml:space="preserve"> </w:t>
      </w:r>
      <w:r w:rsidR="00315DE5">
        <w:rPr>
          <w:sz w:val="22"/>
        </w:rPr>
        <w:br/>
      </w:r>
      <w:r>
        <w:rPr>
          <w:sz w:val="22"/>
        </w:rPr>
        <w:t xml:space="preserve">(v daném případě trh </w:t>
      </w:r>
      <w:r w:rsidR="00315DE5">
        <w:rPr>
          <w:sz w:val="22"/>
        </w:rPr>
        <w:t>bude vymezen jako</w:t>
      </w:r>
      <w:r>
        <w:rPr>
          <w:sz w:val="22"/>
        </w:rPr>
        <w:t xml:space="preserve"> </w:t>
      </w:r>
      <w:r w:rsidR="00DE3091">
        <w:rPr>
          <w:sz w:val="22"/>
        </w:rPr>
        <w:t xml:space="preserve">CZ NACE </w:t>
      </w:r>
      <w:r w:rsidR="00315DE5">
        <w:rPr>
          <w:sz w:val="22"/>
        </w:rPr>
        <w:t xml:space="preserve">na zvolený počet míst </w:t>
      </w:r>
      <w:r w:rsidR="00DE3091">
        <w:rPr>
          <w:sz w:val="22"/>
        </w:rPr>
        <w:t>+ region Česká republika</w:t>
      </w:r>
      <w:r>
        <w:rPr>
          <w:sz w:val="22"/>
        </w:rPr>
        <w:t>)</w:t>
      </w:r>
    </w:p>
    <w:p w14:paraId="2F94D1FD" w14:textId="77777777" w:rsidR="00901E25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b/>
          <w:sz w:val="22"/>
        </w:rPr>
        <w:t>Vymezení trhu</w:t>
      </w:r>
      <w:r>
        <w:rPr>
          <w:sz w:val="22"/>
        </w:rPr>
        <w:t xml:space="preserve"> – přesně uvést číslo a název </w:t>
      </w:r>
      <w:r w:rsidR="00DE3091">
        <w:rPr>
          <w:sz w:val="22"/>
        </w:rPr>
        <w:t>NACE</w:t>
      </w:r>
      <w:r>
        <w:rPr>
          <w:sz w:val="22"/>
        </w:rPr>
        <w:t>, které bude považováno za relevantní trh</w:t>
      </w:r>
      <w:r w:rsidR="00DE3091">
        <w:rPr>
          <w:sz w:val="22"/>
        </w:rPr>
        <w:t>, a ČR</w:t>
      </w:r>
    </w:p>
    <w:p w14:paraId="7B48AC40" w14:textId="404C9599" w:rsidR="00343B7B" w:rsidRPr="00343B7B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b/>
          <w:sz w:val="22"/>
        </w:rPr>
        <w:t>Velikost trhu</w:t>
      </w:r>
      <w:r>
        <w:rPr>
          <w:sz w:val="22"/>
        </w:rPr>
        <w:t xml:space="preserve"> alespoň za poslední</w:t>
      </w:r>
      <w:r w:rsidR="001A32C5">
        <w:rPr>
          <w:sz w:val="22"/>
        </w:rPr>
        <w:t xml:space="preserve">ch </w:t>
      </w:r>
      <w:r w:rsidR="00DA25EB">
        <w:rPr>
          <w:sz w:val="22"/>
        </w:rPr>
        <w:t>7</w:t>
      </w:r>
      <w:r>
        <w:rPr>
          <w:sz w:val="22"/>
        </w:rPr>
        <w:t xml:space="preserve"> </w:t>
      </w:r>
      <w:r w:rsidR="001A32C5">
        <w:rPr>
          <w:sz w:val="22"/>
        </w:rPr>
        <w:t>let</w:t>
      </w:r>
      <w:r w:rsidR="00343B7B">
        <w:rPr>
          <w:sz w:val="22"/>
        </w:rPr>
        <w:t>:</w:t>
      </w:r>
      <w:r>
        <w:rPr>
          <w:sz w:val="22"/>
        </w:rPr>
        <w:t xml:space="preserve"> </w:t>
      </w:r>
      <w:r>
        <w:rPr>
          <w:i/>
          <w:sz w:val="22"/>
        </w:rPr>
        <w:t>(</w:t>
      </w:r>
      <w:r w:rsidR="006D276B">
        <w:rPr>
          <w:i/>
          <w:sz w:val="22"/>
        </w:rPr>
        <w:t>Orbis</w:t>
      </w:r>
      <w:r w:rsidR="00EA7BB6">
        <w:rPr>
          <w:i/>
          <w:sz w:val="22"/>
        </w:rPr>
        <w:t xml:space="preserve"> -</w:t>
      </w:r>
      <w:r w:rsidR="00343B7B">
        <w:rPr>
          <w:i/>
          <w:sz w:val="22"/>
        </w:rPr>
        <w:t xml:space="preserve"> Analysis)</w:t>
      </w:r>
      <w:r w:rsidR="00EA7BB6">
        <w:rPr>
          <w:i/>
          <w:sz w:val="22"/>
        </w:rPr>
        <w:t xml:space="preserve"> </w:t>
      </w:r>
    </w:p>
    <w:p w14:paraId="2E050F2F" w14:textId="77777777" w:rsidR="00343B7B" w:rsidRDefault="00DE3091" w:rsidP="00807936">
      <w:pPr>
        <w:numPr>
          <w:ilvl w:val="2"/>
          <w:numId w:val="13"/>
        </w:numPr>
        <w:tabs>
          <w:tab w:val="left" w:pos="709"/>
        </w:tabs>
        <w:spacing w:after="60" w:line="240" w:lineRule="auto"/>
        <w:ind w:left="1077" w:hanging="357"/>
        <w:rPr>
          <w:sz w:val="22"/>
        </w:rPr>
      </w:pPr>
      <w:r w:rsidRPr="00343B7B">
        <w:rPr>
          <w:sz w:val="22"/>
        </w:rPr>
        <w:t>tabulka s</w:t>
      </w:r>
      <w:r w:rsidR="00EA7BB6" w:rsidRPr="00343B7B">
        <w:rPr>
          <w:sz w:val="22"/>
        </w:rPr>
        <w:t xml:space="preserve"> počtem firem a součtem </w:t>
      </w:r>
      <w:r w:rsidR="008A0B59">
        <w:rPr>
          <w:sz w:val="22"/>
        </w:rPr>
        <w:t>provozních výnosů</w:t>
      </w:r>
      <w:r w:rsidR="00EA7BB6" w:rsidRPr="00343B7B">
        <w:rPr>
          <w:sz w:val="22"/>
        </w:rPr>
        <w:t xml:space="preserve"> </w:t>
      </w:r>
      <w:r w:rsidR="00343B7B">
        <w:rPr>
          <w:sz w:val="22"/>
        </w:rPr>
        <w:t>(</w:t>
      </w:r>
      <w:r w:rsidR="008A0B59">
        <w:rPr>
          <w:sz w:val="22"/>
        </w:rPr>
        <w:t>Operating revenues</w:t>
      </w:r>
      <w:r w:rsidR="00343B7B">
        <w:rPr>
          <w:sz w:val="22"/>
        </w:rPr>
        <w:t>)</w:t>
      </w:r>
      <w:r w:rsidR="00EA7BB6" w:rsidRPr="00343B7B">
        <w:rPr>
          <w:sz w:val="22"/>
        </w:rPr>
        <w:t xml:space="preserve"> za trh</w:t>
      </w:r>
      <w:r w:rsidR="005666C6">
        <w:rPr>
          <w:sz w:val="22"/>
        </w:rPr>
        <w:t xml:space="preserve">, </w:t>
      </w:r>
      <w:r w:rsidR="008A0B59">
        <w:rPr>
          <w:sz w:val="22"/>
        </w:rPr>
        <w:t>výnosy</w:t>
      </w:r>
      <w:r w:rsidR="005666C6">
        <w:rPr>
          <w:sz w:val="22"/>
        </w:rPr>
        <w:t xml:space="preserve"> vyjádřené v</w:t>
      </w:r>
      <w:r w:rsidR="00A6058B">
        <w:rPr>
          <w:sz w:val="22"/>
        </w:rPr>
        <w:t> </w:t>
      </w:r>
      <w:r w:rsidR="005666C6">
        <w:rPr>
          <w:sz w:val="22"/>
        </w:rPr>
        <w:t>Kč</w:t>
      </w:r>
      <w:r w:rsidR="00EA7BB6" w:rsidRPr="00343B7B">
        <w:rPr>
          <w:sz w:val="22"/>
        </w:rPr>
        <w:t xml:space="preserve">, </w:t>
      </w:r>
    </w:p>
    <w:p w14:paraId="13244256" w14:textId="5082134E" w:rsidR="00901E25" w:rsidRPr="00343B7B" w:rsidRDefault="00EA7BB6" w:rsidP="00807936">
      <w:pPr>
        <w:numPr>
          <w:ilvl w:val="2"/>
          <w:numId w:val="13"/>
        </w:numPr>
        <w:tabs>
          <w:tab w:val="left" w:pos="709"/>
        </w:tabs>
        <w:spacing w:after="120" w:line="240" w:lineRule="auto"/>
        <w:rPr>
          <w:sz w:val="22"/>
        </w:rPr>
      </w:pPr>
      <w:r w:rsidRPr="00343B7B">
        <w:rPr>
          <w:sz w:val="22"/>
        </w:rPr>
        <w:t xml:space="preserve">sloupcový graf se součtem </w:t>
      </w:r>
      <w:r w:rsidR="00DF23F8">
        <w:rPr>
          <w:sz w:val="22"/>
        </w:rPr>
        <w:t>provozních výnosů</w:t>
      </w:r>
      <w:r w:rsidRPr="00343B7B">
        <w:rPr>
          <w:sz w:val="22"/>
        </w:rPr>
        <w:t xml:space="preserve"> za trh v</w:t>
      </w:r>
      <w:r w:rsidR="00343B7B">
        <w:rPr>
          <w:sz w:val="22"/>
        </w:rPr>
        <w:t> </w:t>
      </w:r>
      <w:r w:rsidR="002E5387">
        <w:rPr>
          <w:sz w:val="22"/>
        </w:rPr>
        <w:t>sedmi</w:t>
      </w:r>
      <w:r w:rsidR="00343B7B">
        <w:rPr>
          <w:sz w:val="22"/>
        </w:rPr>
        <w:t xml:space="preserve"> posledních</w:t>
      </w:r>
      <w:r w:rsidRPr="00343B7B">
        <w:rPr>
          <w:sz w:val="22"/>
        </w:rPr>
        <w:t xml:space="preserve"> letech </w:t>
      </w:r>
      <w:r w:rsidR="00343B7B">
        <w:rPr>
          <w:sz w:val="22"/>
        </w:rPr>
        <w:t>(není třeba sloupec s</w:t>
      </w:r>
      <w:r w:rsidR="00DB615F">
        <w:rPr>
          <w:sz w:val="22"/>
        </w:rPr>
        <w:t> </w:t>
      </w:r>
      <w:r w:rsidRPr="00343B7B">
        <w:rPr>
          <w:sz w:val="22"/>
        </w:rPr>
        <w:t>průměr</w:t>
      </w:r>
      <w:r w:rsidR="00343B7B">
        <w:rPr>
          <w:sz w:val="22"/>
        </w:rPr>
        <w:t>em</w:t>
      </w:r>
      <w:r w:rsidR="00DB615F">
        <w:rPr>
          <w:sz w:val="22"/>
        </w:rPr>
        <w:t xml:space="preserve">; jde o graf vygenerovaný </w:t>
      </w:r>
      <w:r w:rsidR="00975170">
        <w:rPr>
          <w:sz w:val="22"/>
        </w:rPr>
        <w:t>Orbisem</w:t>
      </w:r>
      <w:r w:rsidR="00DB615F">
        <w:rPr>
          <w:sz w:val="22"/>
        </w:rPr>
        <w:t>, nikoli ručně dokreslený pouze z dat</w:t>
      </w:r>
      <w:r w:rsidR="00901E25" w:rsidRPr="00343B7B">
        <w:rPr>
          <w:sz w:val="22"/>
        </w:rPr>
        <w:t xml:space="preserve">) </w:t>
      </w:r>
    </w:p>
    <w:p w14:paraId="7111A2EC" w14:textId="77777777" w:rsidR="00901E25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b/>
          <w:sz w:val="22"/>
        </w:rPr>
        <w:t>Analýza časového trendu</w:t>
      </w:r>
      <w:r>
        <w:rPr>
          <w:sz w:val="22"/>
        </w:rPr>
        <w:t xml:space="preserve"> minulého vývoje – musí být uveden graf včetně trendu na 4 období dopředu, funkce a koeficient spolehlivosti (nebo korelační koeficient) </w:t>
      </w:r>
      <w:r>
        <w:rPr>
          <w:i/>
          <w:sz w:val="22"/>
        </w:rPr>
        <w:t>(zpracovat pomocí grafu v Excelu)</w:t>
      </w:r>
      <w:r>
        <w:rPr>
          <w:sz w:val="22"/>
        </w:rPr>
        <w:t xml:space="preserve"> </w:t>
      </w:r>
    </w:p>
    <w:p w14:paraId="4CA43517" w14:textId="77777777" w:rsidR="00901E25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b/>
          <w:sz w:val="22"/>
        </w:rPr>
        <w:t>Vícenásobná regrese</w:t>
      </w:r>
      <w:r>
        <w:rPr>
          <w:sz w:val="22"/>
        </w:rPr>
        <w:t xml:space="preserve"> – závislost velikosti trhu na HDP a inflaci – musí být uvedena funkce a korelační koeficient </w:t>
      </w:r>
      <w:r>
        <w:rPr>
          <w:i/>
          <w:sz w:val="22"/>
        </w:rPr>
        <w:t>(zpracovat pomocí příkazu v Excelu, HDP a inflaci najít na internetu)</w:t>
      </w:r>
    </w:p>
    <w:p w14:paraId="529588D9" w14:textId="77777777" w:rsidR="00901E25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b/>
          <w:sz w:val="22"/>
        </w:rPr>
        <w:t>Tabulky</w:t>
      </w:r>
      <w:r>
        <w:rPr>
          <w:sz w:val="22"/>
        </w:rPr>
        <w:t>, které budou obsahovat minulé časové řady trhu, HDP a inflac</w:t>
      </w:r>
      <w:r w:rsidR="00DF23F8">
        <w:rPr>
          <w:sz w:val="22"/>
        </w:rPr>
        <w:t>e</w:t>
      </w:r>
      <w:r>
        <w:rPr>
          <w:sz w:val="22"/>
        </w:rPr>
        <w:t xml:space="preserve"> (minimálně za </w:t>
      </w:r>
      <w:r w:rsidR="00DA25EB">
        <w:rPr>
          <w:sz w:val="22"/>
        </w:rPr>
        <w:t>7</w:t>
      </w:r>
      <w:r>
        <w:rPr>
          <w:sz w:val="22"/>
        </w:rPr>
        <w:t xml:space="preserve"> </w:t>
      </w:r>
      <w:r w:rsidR="001A32C5">
        <w:rPr>
          <w:sz w:val="22"/>
        </w:rPr>
        <w:t>let</w:t>
      </w:r>
      <w:r>
        <w:rPr>
          <w:sz w:val="22"/>
        </w:rPr>
        <w:t xml:space="preserve">), prognózu HDP a inflace, prognózu trhu podle časového trendu a prognózu trhu podle vícenásobné regrese minimálně na 4 budoucí roky; </w:t>
      </w:r>
      <w:r w:rsidR="00387BAD">
        <w:rPr>
          <w:sz w:val="22"/>
        </w:rPr>
        <w:t xml:space="preserve">u minulosti i </w:t>
      </w:r>
      <w:r>
        <w:rPr>
          <w:sz w:val="22"/>
        </w:rPr>
        <w:t xml:space="preserve">u obou prognóz dopočítat i </w:t>
      </w:r>
      <w:r w:rsidR="00027A10">
        <w:rPr>
          <w:sz w:val="22"/>
        </w:rPr>
        <w:t xml:space="preserve">roční </w:t>
      </w:r>
      <w:r>
        <w:rPr>
          <w:sz w:val="22"/>
        </w:rPr>
        <w:t xml:space="preserve">tempa růstu trhu v % </w:t>
      </w:r>
      <w:r>
        <w:rPr>
          <w:i/>
          <w:sz w:val="22"/>
        </w:rPr>
        <w:t>(vlastní dopočet v Excelu)</w:t>
      </w:r>
    </w:p>
    <w:p w14:paraId="4DAFD056" w14:textId="77777777" w:rsidR="00901E25" w:rsidRDefault="00901E25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rPr>
          <w:sz w:val="22"/>
        </w:rPr>
      </w:pPr>
      <w:r>
        <w:rPr>
          <w:b/>
          <w:sz w:val="22"/>
        </w:rPr>
        <w:t>Zvolená výsledná prognóza vývoje trhu</w:t>
      </w:r>
      <w:r>
        <w:rPr>
          <w:sz w:val="22"/>
        </w:rPr>
        <w:t xml:space="preserve"> – může být vybrána prognóza podle čas</w:t>
      </w:r>
      <w:r w:rsidR="00387BAD">
        <w:rPr>
          <w:sz w:val="22"/>
        </w:rPr>
        <w:t>.</w:t>
      </w:r>
      <w:r>
        <w:rPr>
          <w:sz w:val="22"/>
        </w:rPr>
        <w:t xml:space="preserve"> trendu nebo vícenás</w:t>
      </w:r>
      <w:r w:rsidR="00387BAD">
        <w:rPr>
          <w:sz w:val="22"/>
        </w:rPr>
        <w:t>.</w:t>
      </w:r>
      <w:r>
        <w:rPr>
          <w:sz w:val="22"/>
        </w:rPr>
        <w:t xml:space="preserve"> regrese nebo průměr mezi nimi nebo jakýkoli jiný rozumný odhad studenta. Popsat, na základě čeho byla výsledná prognóza zvolena, volbu ale není třeba zdůvodňovat.</w:t>
      </w:r>
      <w:r w:rsidR="00387BAD">
        <w:rPr>
          <w:sz w:val="22"/>
        </w:rPr>
        <w:t xml:space="preserve"> Uvést velikosti trhu i tempa růstu.</w:t>
      </w:r>
    </w:p>
    <w:p w14:paraId="6CD85579" w14:textId="77777777" w:rsidR="00901E25" w:rsidRDefault="00901E25" w:rsidP="00807936">
      <w:pPr>
        <w:keepNext/>
        <w:numPr>
          <w:ilvl w:val="0"/>
          <w:numId w:val="13"/>
        </w:numPr>
        <w:spacing w:before="120" w:after="120" w:line="240" w:lineRule="auto"/>
        <w:ind w:left="357" w:hanging="357"/>
        <w:rPr>
          <w:sz w:val="22"/>
        </w:rPr>
      </w:pPr>
      <w:r>
        <w:rPr>
          <w:b/>
          <w:sz w:val="22"/>
          <w:u w:val="single"/>
        </w:rPr>
        <w:t>Finanční analýza</w:t>
      </w:r>
      <w:r>
        <w:rPr>
          <w:b/>
          <w:sz w:val="22"/>
        </w:rPr>
        <w:t xml:space="preserve"> </w:t>
      </w:r>
      <w:r>
        <w:rPr>
          <w:sz w:val="22"/>
        </w:rPr>
        <w:t>(uvést jen následující tabulky a grafy, není třeba komentovat)</w:t>
      </w:r>
    </w:p>
    <w:p w14:paraId="4253E1D1" w14:textId="77777777" w:rsidR="00901E25" w:rsidRPr="008A0B59" w:rsidRDefault="00901E25" w:rsidP="00807936">
      <w:pPr>
        <w:keepNext/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>
        <w:rPr>
          <w:sz w:val="22"/>
        </w:rPr>
        <w:t xml:space="preserve">Tabulka s minulou časovou řadou </w:t>
      </w:r>
      <w:r>
        <w:rPr>
          <w:b/>
          <w:sz w:val="22"/>
        </w:rPr>
        <w:t>rozvah a výsledovek</w:t>
      </w:r>
      <w:r>
        <w:rPr>
          <w:sz w:val="22"/>
        </w:rPr>
        <w:t xml:space="preserve"> min. za </w:t>
      </w:r>
      <w:r w:rsidR="0076564F">
        <w:rPr>
          <w:sz w:val="22"/>
        </w:rPr>
        <w:t>3</w:t>
      </w:r>
      <w:r>
        <w:rPr>
          <w:sz w:val="22"/>
        </w:rPr>
        <w:t xml:space="preserve"> roky v jedné tabulce </w:t>
      </w:r>
      <w:r>
        <w:rPr>
          <w:i/>
          <w:sz w:val="22"/>
        </w:rPr>
        <w:t>(</w:t>
      </w:r>
      <w:r w:rsidR="00A5203C">
        <w:rPr>
          <w:i/>
          <w:sz w:val="22"/>
        </w:rPr>
        <w:t>Albertina</w:t>
      </w:r>
      <w:r>
        <w:rPr>
          <w:i/>
          <w:sz w:val="22"/>
        </w:rPr>
        <w:t>)</w:t>
      </w:r>
    </w:p>
    <w:p w14:paraId="270AE745" w14:textId="77777777" w:rsidR="00DB615F" w:rsidRPr="00DB615F" w:rsidRDefault="00DB615F" w:rsidP="00807936">
      <w:pPr>
        <w:keepNext/>
        <w:numPr>
          <w:ilvl w:val="1"/>
          <w:numId w:val="13"/>
        </w:numPr>
        <w:tabs>
          <w:tab w:val="left" w:pos="709"/>
        </w:tabs>
        <w:spacing w:after="80" w:line="240" w:lineRule="auto"/>
        <w:ind w:left="714" w:hanging="357"/>
        <w:rPr>
          <w:sz w:val="22"/>
        </w:rPr>
      </w:pPr>
      <w:r>
        <w:rPr>
          <w:b/>
          <w:sz w:val="22"/>
        </w:rPr>
        <w:t>Konkurenční složení trhu:</w:t>
      </w:r>
    </w:p>
    <w:p w14:paraId="6856FB76" w14:textId="5BD907CA" w:rsidR="00DB615F" w:rsidRDefault="00DB615F" w:rsidP="00807936">
      <w:pPr>
        <w:keepNext/>
        <w:numPr>
          <w:ilvl w:val="2"/>
          <w:numId w:val="13"/>
        </w:numPr>
        <w:tabs>
          <w:tab w:val="left" w:pos="709"/>
        </w:tabs>
        <w:spacing w:after="80" w:line="240" w:lineRule="auto"/>
        <w:rPr>
          <w:sz w:val="22"/>
        </w:rPr>
      </w:pPr>
      <w:r w:rsidRPr="00DB615F">
        <w:rPr>
          <w:b/>
          <w:sz w:val="22"/>
        </w:rPr>
        <w:t>Tabulka z </w:t>
      </w:r>
      <w:r w:rsidR="00975170">
        <w:rPr>
          <w:b/>
          <w:sz w:val="22"/>
        </w:rPr>
        <w:t>Orbisu</w:t>
      </w:r>
      <w:r w:rsidRPr="00DB615F">
        <w:rPr>
          <w:b/>
          <w:sz w:val="22"/>
        </w:rPr>
        <w:t xml:space="preserve"> s vymezeným dotazem</w:t>
      </w:r>
      <w:r>
        <w:rPr>
          <w:sz w:val="22"/>
        </w:rPr>
        <w:t xml:space="preserve"> </w:t>
      </w:r>
      <w:r w:rsidR="008A0B59">
        <w:rPr>
          <w:sz w:val="22"/>
        </w:rPr>
        <w:t>(</w:t>
      </w:r>
      <w:r w:rsidR="008A0B59" w:rsidRPr="008A0B59">
        <w:rPr>
          <w:i/>
          <w:sz w:val="22"/>
        </w:rPr>
        <w:t>Search strategy</w:t>
      </w:r>
      <w:r>
        <w:rPr>
          <w:sz w:val="22"/>
        </w:rPr>
        <w:t>, popis dotazu zároveň vymezuje srovnávací skupinu, ke které se provádí srovnání v následujících grafech – viz dále).</w:t>
      </w:r>
      <w:r w:rsidR="008A0B59">
        <w:rPr>
          <w:sz w:val="22"/>
        </w:rPr>
        <w:t xml:space="preserve"> </w:t>
      </w:r>
    </w:p>
    <w:p w14:paraId="6BF9BCF3" w14:textId="77777777" w:rsidR="008A0B59" w:rsidRDefault="00DB615F" w:rsidP="00807936">
      <w:pPr>
        <w:keepNext/>
        <w:numPr>
          <w:ilvl w:val="2"/>
          <w:numId w:val="13"/>
        </w:numPr>
        <w:tabs>
          <w:tab w:val="left" w:pos="709"/>
        </w:tabs>
        <w:spacing w:after="0" w:line="240" w:lineRule="auto"/>
        <w:ind w:left="1077"/>
        <w:rPr>
          <w:sz w:val="22"/>
        </w:rPr>
      </w:pPr>
      <w:r w:rsidRPr="00DB615F">
        <w:rPr>
          <w:b/>
          <w:sz w:val="22"/>
        </w:rPr>
        <w:t>T</w:t>
      </w:r>
      <w:r w:rsidR="008A0B59" w:rsidRPr="008A0B59">
        <w:rPr>
          <w:b/>
          <w:sz w:val="22"/>
        </w:rPr>
        <w:t>abulka se seznamem vyhledaných firem na trhu</w:t>
      </w:r>
      <w:r w:rsidR="008A0B59">
        <w:rPr>
          <w:sz w:val="22"/>
        </w:rPr>
        <w:t>. Tabulka bude mít alespoň tyto sloupce:</w:t>
      </w:r>
    </w:p>
    <w:p w14:paraId="66D2A35F" w14:textId="77777777" w:rsidR="008A0B59" w:rsidRDefault="008A0B59" w:rsidP="00DB615F">
      <w:pPr>
        <w:keepNext/>
        <w:tabs>
          <w:tab w:val="left" w:pos="709"/>
        </w:tabs>
        <w:spacing w:after="0" w:line="240" w:lineRule="auto"/>
        <w:ind w:left="1077"/>
        <w:rPr>
          <w:sz w:val="22"/>
        </w:rPr>
      </w:pPr>
      <w:r>
        <w:rPr>
          <w:sz w:val="22"/>
        </w:rPr>
        <w:t>Pořadové číslo, název firmy, město, NACE, poslední rok</w:t>
      </w:r>
      <w:r w:rsidR="00DF23F8">
        <w:rPr>
          <w:sz w:val="22"/>
        </w:rPr>
        <w:t xml:space="preserve"> výkazů</w:t>
      </w:r>
      <w:r>
        <w:rPr>
          <w:sz w:val="22"/>
        </w:rPr>
        <w:t>, provozní výnosy.</w:t>
      </w:r>
    </w:p>
    <w:p w14:paraId="39D25F56" w14:textId="77777777" w:rsidR="008A0B59" w:rsidRDefault="008A0B59" w:rsidP="00DB615F">
      <w:pPr>
        <w:keepNext/>
        <w:tabs>
          <w:tab w:val="left" w:pos="709"/>
        </w:tabs>
        <w:spacing w:after="120" w:line="240" w:lineRule="auto"/>
        <w:ind w:left="1080"/>
        <w:rPr>
          <w:sz w:val="22"/>
        </w:rPr>
      </w:pPr>
      <w:r>
        <w:rPr>
          <w:sz w:val="22"/>
        </w:rPr>
        <w:t>Tabulku setřídit podle velikosti provozních výnosů, zvýraznit řádek s oceňovaným podnikem.</w:t>
      </w:r>
    </w:p>
    <w:p w14:paraId="56A02854" w14:textId="7467C522" w:rsidR="00DB615F" w:rsidRDefault="00DB615F" w:rsidP="008A0B59">
      <w:pPr>
        <w:keepNext/>
        <w:tabs>
          <w:tab w:val="left" w:pos="709"/>
        </w:tabs>
        <w:spacing w:after="120" w:line="240" w:lineRule="auto"/>
        <w:ind w:left="720"/>
        <w:rPr>
          <w:sz w:val="22"/>
        </w:rPr>
      </w:pPr>
      <w:r>
        <w:rPr>
          <w:sz w:val="22"/>
        </w:rPr>
        <w:t>(</w:t>
      </w:r>
      <w:r w:rsidR="006D276B">
        <w:rPr>
          <w:i/>
          <w:sz w:val="22"/>
        </w:rPr>
        <w:t>Orbis</w:t>
      </w:r>
      <w:r w:rsidRPr="008A0B59">
        <w:rPr>
          <w:i/>
          <w:sz w:val="22"/>
        </w:rPr>
        <w:t>, ob</w:t>
      </w:r>
      <w:r>
        <w:rPr>
          <w:i/>
          <w:sz w:val="22"/>
        </w:rPr>
        <w:t>ě tabulky</w:t>
      </w:r>
      <w:r w:rsidRPr="008A0B59">
        <w:rPr>
          <w:i/>
          <w:sz w:val="22"/>
        </w:rPr>
        <w:t xml:space="preserve"> získán</w:t>
      </w:r>
      <w:r>
        <w:rPr>
          <w:i/>
          <w:sz w:val="22"/>
        </w:rPr>
        <w:t>y</w:t>
      </w:r>
      <w:r w:rsidRPr="008A0B59">
        <w:rPr>
          <w:i/>
          <w:sz w:val="22"/>
        </w:rPr>
        <w:t xml:space="preserve"> přes export seznamu firem do Excelu</w:t>
      </w:r>
      <w:r>
        <w:rPr>
          <w:sz w:val="22"/>
        </w:rPr>
        <w:t>)</w:t>
      </w:r>
    </w:p>
    <w:p w14:paraId="5938004C" w14:textId="19E5C51C" w:rsidR="008A0B59" w:rsidRPr="008A0B59" w:rsidRDefault="008A0B59" w:rsidP="00807936">
      <w:pPr>
        <w:numPr>
          <w:ilvl w:val="1"/>
          <w:numId w:val="13"/>
        </w:numPr>
        <w:tabs>
          <w:tab w:val="left" w:pos="709"/>
        </w:tabs>
        <w:spacing w:after="120" w:line="240" w:lineRule="auto"/>
        <w:ind w:left="714" w:hanging="357"/>
        <w:rPr>
          <w:sz w:val="22"/>
        </w:rPr>
      </w:pPr>
      <w:r w:rsidRPr="008A0B59">
        <w:rPr>
          <w:b/>
          <w:sz w:val="22"/>
        </w:rPr>
        <w:t>Srovnání podniku s relevantním trhem</w:t>
      </w:r>
      <w:r>
        <w:rPr>
          <w:sz w:val="22"/>
        </w:rPr>
        <w:t xml:space="preserve"> (</w:t>
      </w:r>
      <w:r w:rsidR="006D276B">
        <w:rPr>
          <w:i/>
          <w:sz w:val="22"/>
        </w:rPr>
        <w:t>Orbis</w:t>
      </w:r>
      <w:r w:rsidRPr="008A0B59">
        <w:rPr>
          <w:i/>
          <w:sz w:val="22"/>
        </w:rPr>
        <w:t xml:space="preserve"> – Peer report</w:t>
      </w:r>
      <w:r>
        <w:rPr>
          <w:sz w:val="22"/>
        </w:rPr>
        <w:t xml:space="preserve">), srovnávací skupina je vymezená </w:t>
      </w:r>
      <w:r w:rsidRPr="00DF23F8">
        <w:rPr>
          <w:b/>
          <w:sz w:val="22"/>
        </w:rPr>
        <w:t>dotazem</w:t>
      </w:r>
      <w:r>
        <w:rPr>
          <w:sz w:val="22"/>
        </w:rPr>
        <w:t xml:space="preserve"> (tj. NACE a ČR podle vymezení rel. trhu), srovnání se provádí se </w:t>
      </w:r>
      <w:r w:rsidRPr="00A57A20">
        <w:rPr>
          <w:b/>
          <w:sz w:val="22"/>
        </w:rPr>
        <w:t>všemi podniky ve skupině</w:t>
      </w:r>
      <w:r>
        <w:rPr>
          <w:sz w:val="22"/>
        </w:rPr>
        <w:t>:</w:t>
      </w:r>
    </w:p>
    <w:p w14:paraId="54703F05" w14:textId="3063B70F" w:rsidR="00343B7B" w:rsidRDefault="00343B7B" w:rsidP="00807936">
      <w:pPr>
        <w:numPr>
          <w:ilvl w:val="2"/>
          <w:numId w:val="13"/>
        </w:numPr>
        <w:tabs>
          <w:tab w:val="left" w:pos="709"/>
        </w:tabs>
        <w:spacing w:after="80" w:line="240" w:lineRule="auto"/>
        <w:ind w:left="1077" w:hanging="357"/>
        <w:rPr>
          <w:sz w:val="22"/>
        </w:rPr>
      </w:pPr>
      <w:r>
        <w:rPr>
          <w:b/>
          <w:sz w:val="22"/>
        </w:rPr>
        <w:t>Sloupcový graf s průměrem, mediánem a směr. odchylkou a hodnotou pro podnik</w:t>
      </w:r>
      <w:r>
        <w:rPr>
          <w:sz w:val="22"/>
        </w:rPr>
        <w:t xml:space="preserve"> alespoň pro 1 ukazatel</w:t>
      </w:r>
      <w:r w:rsidR="003C01E7">
        <w:rPr>
          <w:sz w:val="22"/>
        </w:rPr>
        <w:t xml:space="preserve"> </w:t>
      </w:r>
      <w:r w:rsidR="003C01E7" w:rsidRPr="003C01E7">
        <w:rPr>
          <w:sz w:val="22"/>
        </w:rPr>
        <w:t xml:space="preserve">pro poslední rok před datem ocenění </w:t>
      </w:r>
      <w:r>
        <w:rPr>
          <w:sz w:val="22"/>
        </w:rPr>
        <w:t>(</w:t>
      </w:r>
      <w:r w:rsidR="006D276B">
        <w:rPr>
          <w:i/>
          <w:sz w:val="22"/>
        </w:rPr>
        <w:t>Orbis</w:t>
      </w:r>
      <w:r>
        <w:rPr>
          <w:i/>
          <w:sz w:val="22"/>
        </w:rPr>
        <w:t xml:space="preserve"> - Bar chart, graf uspořádán podle let</w:t>
      </w:r>
      <w:r w:rsidR="008A0B59">
        <w:rPr>
          <w:sz w:val="22"/>
        </w:rPr>
        <w:t>)</w:t>
      </w:r>
      <w:r>
        <w:rPr>
          <w:sz w:val="22"/>
        </w:rPr>
        <w:t xml:space="preserve"> </w:t>
      </w:r>
    </w:p>
    <w:p w14:paraId="712E93BB" w14:textId="2B8350E7" w:rsidR="00343B7B" w:rsidRDefault="00343B7B" w:rsidP="00807936">
      <w:pPr>
        <w:numPr>
          <w:ilvl w:val="2"/>
          <w:numId w:val="13"/>
        </w:numPr>
        <w:tabs>
          <w:tab w:val="left" w:pos="709"/>
        </w:tabs>
        <w:spacing w:after="80" w:line="240" w:lineRule="auto"/>
        <w:ind w:left="1077" w:hanging="357"/>
        <w:rPr>
          <w:sz w:val="22"/>
        </w:rPr>
      </w:pPr>
      <w:r>
        <w:rPr>
          <w:b/>
          <w:sz w:val="22"/>
        </w:rPr>
        <w:t>Kruhový graf</w:t>
      </w:r>
      <w:r>
        <w:rPr>
          <w:sz w:val="22"/>
        </w:rPr>
        <w:t xml:space="preserve"> (</w:t>
      </w:r>
      <w:r w:rsidR="006D276B">
        <w:rPr>
          <w:i/>
          <w:sz w:val="22"/>
        </w:rPr>
        <w:t>Orbis</w:t>
      </w:r>
      <w:r w:rsidRPr="00343B7B">
        <w:rPr>
          <w:i/>
          <w:sz w:val="22"/>
        </w:rPr>
        <w:t xml:space="preserve"> – Pie chart</w:t>
      </w:r>
      <w:r>
        <w:rPr>
          <w:sz w:val="22"/>
        </w:rPr>
        <w:t>), a to ale</w:t>
      </w:r>
      <w:r w:rsidR="008A0B59">
        <w:rPr>
          <w:sz w:val="22"/>
        </w:rPr>
        <w:t>spoň jeden graf za poslední rok</w:t>
      </w:r>
      <w:r>
        <w:rPr>
          <w:sz w:val="22"/>
        </w:rPr>
        <w:t xml:space="preserve"> </w:t>
      </w:r>
    </w:p>
    <w:p w14:paraId="22E662DF" w14:textId="5518CDC5" w:rsidR="00343B7B" w:rsidRDefault="00343B7B" w:rsidP="00807936">
      <w:pPr>
        <w:numPr>
          <w:ilvl w:val="2"/>
          <w:numId w:val="13"/>
        </w:numPr>
        <w:tabs>
          <w:tab w:val="left" w:pos="709"/>
        </w:tabs>
        <w:spacing w:after="120" w:line="240" w:lineRule="auto"/>
        <w:rPr>
          <w:sz w:val="22"/>
        </w:rPr>
      </w:pPr>
      <w:r>
        <w:rPr>
          <w:b/>
          <w:sz w:val="22"/>
        </w:rPr>
        <w:t>Kvartilový graf</w:t>
      </w:r>
      <w:r>
        <w:rPr>
          <w:sz w:val="22"/>
        </w:rPr>
        <w:t xml:space="preserve"> (</w:t>
      </w:r>
      <w:r w:rsidR="006D276B">
        <w:rPr>
          <w:sz w:val="22"/>
        </w:rPr>
        <w:t>Orbis</w:t>
      </w:r>
      <w:r>
        <w:rPr>
          <w:i/>
          <w:sz w:val="22"/>
        </w:rPr>
        <w:t xml:space="preserve"> – Distribution chart</w:t>
      </w:r>
      <w:r>
        <w:rPr>
          <w:sz w:val="22"/>
        </w:rPr>
        <w:t>), a to alespoň dva grafy pro dva r</w:t>
      </w:r>
      <w:r w:rsidR="008A0B59">
        <w:rPr>
          <w:sz w:val="22"/>
        </w:rPr>
        <w:t>ůzné ukazatele za poslední rok</w:t>
      </w:r>
    </w:p>
    <w:p w14:paraId="7B6BDB40" w14:textId="2F773E74" w:rsidR="00DB615F" w:rsidRPr="00DB615F" w:rsidRDefault="00DB615F" w:rsidP="00DB615F">
      <w:pPr>
        <w:tabs>
          <w:tab w:val="left" w:pos="709"/>
        </w:tabs>
        <w:spacing w:after="120" w:line="240" w:lineRule="auto"/>
        <w:ind w:left="720"/>
        <w:rPr>
          <w:sz w:val="22"/>
        </w:rPr>
      </w:pPr>
      <w:r w:rsidRPr="00DB615F">
        <w:rPr>
          <w:sz w:val="22"/>
        </w:rPr>
        <w:t>Gra</w:t>
      </w:r>
      <w:r>
        <w:rPr>
          <w:sz w:val="22"/>
        </w:rPr>
        <w:t>fy musí obsahovat kompletní originální nadpis z </w:t>
      </w:r>
      <w:r w:rsidR="00975170">
        <w:rPr>
          <w:sz w:val="22"/>
        </w:rPr>
        <w:t>Orbisu</w:t>
      </w:r>
      <w:r>
        <w:rPr>
          <w:sz w:val="22"/>
        </w:rPr>
        <w:t xml:space="preserve">, aby bylo možné ověřit jejich správnost. Tj. musí být zejména uvedena informace, že srovnávací skupina je tvořena jako „result of list“, </w:t>
      </w:r>
      <w:r w:rsidR="008920C7">
        <w:rPr>
          <w:sz w:val="22"/>
        </w:rPr>
        <w:t xml:space="preserve">dále musí být v originálním nadpise vidět </w:t>
      </w:r>
      <w:r>
        <w:rPr>
          <w:sz w:val="22"/>
        </w:rPr>
        <w:t>počet firem a rok (v grafu by měl být výslovně zadán konkrétní rok, pro který má analyzovaný podnik poslední výkazy, nepoužívat</w:t>
      </w:r>
      <w:r w:rsidR="00DF23F8">
        <w:rPr>
          <w:sz w:val="22"/>
        </w:rPr>
        <w:t xml:space="preserve"> obecnou</w:t>
      </w:r>
      <w:r>
        <w:rPr>
          <w:sz w:val="22"/>
        </w:rPr>
        <w:t xml:space="preserve"> volbu „last year“). </w:t>
      </w:r>
    </w:p>
    <w:p w14:paraId="73C72912" w14:textId="77777777" w:rsidR="00901E25" w:rsidRDefault="009F19F4" w:rsidP="00DC244E">
      <w:pPr>
        <w:keepNext/>
        <w:numPr>
          <w:ilvl w:val="0"/>
          <w:numId w:val="13"/>
        </w:numPr>
        <w:spacing w:before="120" w:after="80" w:line="240" w:lineRule="auto"/>
        <w:ind w:left="357" w:hanging="357"/>
        <w:jc w:val="left"/>
        <w:rPr>
          <w:sz w:val="22"/>
        </w:rPr>
      </w:pPr>
      <w:r>
        <w:rPr>
          <w:b/>
          <w:sz w:val="22"/>
          <w:u w:val="single"/>
        </w:rPr>
        <w:lastRenderedPageBreak/>
        <w:t>Zjednodušené o</w:t>
      </w:r>
      <w:r w:rsidR="00901E25">
        <w:rPr>
          <w:b/>
          <w:sz w:val="22"/>
          <w:u w:val="single"/>
        </w:rPr>
        <w:t xml:space="preserve">cenění podniku </w:t>
      </w:r>
      <w:r w:rsidRPr="007F0765">
        <w:rPr>
          <w:i/>
          <w:sz w:val="22"/>
        </w:rPr>
        <w:t>(zpracované pomocí Excelu)</w:t>
      </w:r>
    </w:p>
    <w:p w14:paraId="3A7F9D70" w14:textId="77777777" w:rsidR="00901E25" w:rsidRDefault="00901E25" w:rsidP="00BC35BD">
      <w:pPr>
        <w:keepNext/>
        <w:numPr>
          <w:ilvl w:val="1"/>
          <w:numId w:val="13"/>
        </w:numPr>
        <w:tabs>
          <w:tab w:val="left" w:pos="709"/>
        </w:tabs>
        <w:spacing w:before="120" w:after="120" w:line="240" w:lineRule="auto"/>
        <w:ind w:left="714" w:hanging="357"/>
        <w:jc w:val="left"/>
        <w:rPr>
          <w:sz w:val="22"/>
        </w:rPr>
      </w:pPr>
      <w:r>
        <w:rPr>
          <w:b/>
          <w:sz w:val="22"/>
        </w:rPr>
        <w:t>Jednotné předpoklady</w:t>
      </w:r>
      <w:r w:rsidR="009F19F4">
        <w:rPr>
          <w:b/>
          <w:sz w:val="22"/>
        </w:rPr>
        <w:t xml:space="preserve"> pro </w:t>
      </w:r>
      <w:r w:rsidR="00414D8F">
        <w:rPr>
          <w:b/>
          <w:sz w:val="22"/>
        </w:rPr>
        <w:t xml:space="preserve">zjednodušené </w:t>
      </w:r>
      <w:r w:rsidR="009F19F4">
        <w:rPr>
          <w:b/>
          <w:sz w:val="22"/>
        </w:rPr>
        <w:t xml:space="preserve">výnosové ocenění </w:t>
      </w:r>
      <w:r w:rsidR="00414D8F">
        <w:rPr>
          <w:b/>
          <w:sz w:val="22"/>
        </w:rPr>
        <w:t xml:space="preserve">přes </w:t>
      </w:r>
      <w:r w:rsidR="009F19F4">
        <w:rPr>
          <w:b/>
          <w:sz w:val="22"/>
        </w:rPr>
        <w:t>generátory hodnoty</w:t>
      </w:r>
      <w:r>
        <w:rPr>
          <w:b/>
          <w:sz w:val="22"/>
        </w:rPr>
        <w:t>:</w:t>
      </w:r>
    </w:p>
    <w:p w14:paraId="4CC79BF1" w14:textId="77777777" w:rsidR="00901E25" w:rsidRDefault="009F19F4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sz w:val="22"/>
        </w:rPr>
        <w:t>Jako východisko připravit</w:t>
      </w:r>
      <w:r w:rsidR="00901E25">
        <w:rPr>
          <w:sz w:val="22"/>
        </w:rPr>
        <w:t xml:space="preserve"> </w:t>
      </w:r>
      <w:r>
        <w:rPr>
          <w:sz w:val="22"/>
        </w:rPr>
        <w:t xml:space="preserve">generátory hodnoty za poslední skutečný rok: Tržby, KPVH, DHM+DNM, Pracovní kapitál: zásoby, krátkodobé pohledávky, nutné peníze, krát. neúročené závazky, časové rozlišení </w:t>
      </w:r>
      <w:r w:rsidR="00901E25">
        <w:rPr>
          <w:i/>
          <w:sz w:val="22"/>
        </w:rPr>
        <w:t xml:space="preserve">(podle výkazů z databáze </w:t>
      </w:r>
      <w:r w:rsidR="00DF23F8">
        <w:rPr>
          <w:i/>
          <w:sz w:val="22"/>
        </w:rPr>
        <w:t>Albertina</w:t>
      </w:r>
      <w:r w:rsidR="00901E25">
        <w:rPr>
          <w:i/>
          <w:sz w:val="22"/>
        </w:rPr>
        <w:t>)</w:t>
      </w:r>
    </w:p>
    <w:p w14:paraId="20B6469E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sz w:val="22"/>
        </w:rPr>
        <w:t xml:space="preserve">Budoucí </w:t>
      </w:r>
      <w:r>
        <w:rPr>
          <w:b/>
          <w:sz w:val="22"/>
        </w:rPr>
        <w:t>tempo růstu tržeb</w:t>
      </w:r>
      <w:r>
        <w:rPr>
          <w:sz w:val="22"/>
        </w:rPr>
        <w:t xml:space="preserve"> podniku bude na úrovni tempa růstu trhu zvoleného v části 3</w:t>
      </w:r>
      <w:r w:rsidR="00DF23F8">
        <w:rPr>
          <w:sz w:val="22"/>
        </w:rPr>
        <w:t>-f</w:t>
      </w:r>
      <w:r>
        <w:rPr>
          <w:sz w:val="22"/>
        </w:rPr>
        <w:t xml:space="preserve"> (tj. implicitní předpoklad, že tržní podíl podniku zůstane na současné úrovni)</w:t>
      </w:r>
    </w:p>
    <w:p w14:paraId="0BBFDB9E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Zisková marže</w:t>
      </w:r>
      <w:r>
        <w:rPr>
          <w:sz w:val="22"/>
        </w:rPr>
        <w:t xml:space="preserve"> (tj. korigovan</w:t>
      </w:r>
      <w:r w:rsidR="0047046A">
        <w:rPr>
          <w:sz w:val="22"/>
        </w:rPr>
        <w:t>ý</w:t>
      </w:r>
      <w:r>
        <w:rPr>
          <w:sz w:val="22"/>
        </w:rPr>
        <w:t xml:space="preserve"> provozní zisk</w:t>
      </w:r>
      <w:r w:rsidR="0047046A">
        <w:rPr>
          <w:sz w:val="22"/>
        </w:rPr>
        <w:t xml:space="preserve"> před daní</w:t>
      </w:r>
      <w:r>
        <w:rPr>
          <w:sz w:val="22"/>
        </w:rPr>
        <w:t xml:space="preserve"> </w:t>
      </w:r>
      <w:r w:rsidR="0047046A">
        <w:rPr>
          <w:sz w:val="22"/>
        </w:rPr>
        <w:t>/</w:t>
      </w:r>
      <w:r>
        <w:rPr>
          <w:sz w:val="22"/>
        </w:rPr>
        <w:t xml:space="preserve"> tržb</w:t>
      </w:r>
      <w:r w:rsidR="0047046A">
        <w:rPr>
          <w:sz w:val="22"/>
        </w:rPr>
        <w:t>y</w:t>
      </w:r>
      <w:r>
        <w:rPr>
          <w:sz w:val="22"/>
        </w:rPr>
        <w:t xml:space="preserve">) </w:t>
      </w:r>
      <w:r w:rsidR="00802CEF">
        <w:rPr>
          <w:sz w:val="22"/>
        </w:rPr>
        <w:t xml:space="preserve">se </w:t>
      </w:r>
      <w:r w:rsidR="00027A10">
        <w:rPr>
          <w:sz w:val="22"/>
        </w:rPr>
        <w:t>v</w:t>
      </w:r>
      <w:r w:rsidR="00057FEC">
        <w:rPr>
          <w:sz w:val="22"/>
        </w:rPr>
        <w:t> </w:t>
      </w:r>
      <w:r w:rsidR="00146081">
        <w:rPr>
          <w:sz w:val="22"/>
        </w:rPr>
        <w:t>první</w:t>
      </w:r>
      <w:r w:rsidR="00D25F5B">
        <w:rPr>
          <w:sz w:val="22"/>
        </w:rPr>
        <w:t>m</w:t>
      </w:r>
      <w:r w:rsidR="00057FEC">
        <w:rPr>
          <w:sz w:val="22"/>
        </w:rPr>
        <w:t xml:space="preserve"> a druhém</w:t>
      </w:r>
      <w:r w:rsidR="00CE3BBF">
        <w:rPr>
          <w:sz w:val="22"/>
        </w:rPr>
        <w:t xml:space="preserve"> </w:t>
      </w:r>
      <w:r w:rsidR="00D25F5B">
        <w:rPr>
          <w:sz w:val="22"/>
        </w:rPr>
        <w:t>roce</w:t>
      </w:r>
      <w:r w:rsidR="00146081">
        <w:rPr>
          <w:sz w:val="22"/>
        </w:rPr>
        <w:t xml:space="preserve"> zvýší</w:t>
      </w:r>
      <w:r w:rsidR="00027A10">
        <w:rPr>
          <w:sz w:val="22"/>
        </w:rPr>
        <w:t xml:space="preserve"> </w:t>
      </w:r>
      <w:r w:rsidR="00057FEC">
        <w:rPr>
          <w:sz w:val="22"/>
        </w:rPr>
        <w:t xml:space="preserve">vždy </w:t>
      </w:r>
      <w:r w:rsidR="00146081">
        <w:rPr>
          <w:sz w:val="22"/>
        </w:rPr>
        <w:t xml:space="preserve">o </w:t>
      </w:r>
      <w:r w:rsidR="00831AF8">
        <w:rPr>
          <w:sz w:val="22"/>
        </w:rPr>
        <w:t>1</w:t>
      </w:r>
      <w:r w:rsidR="00146081">
        <w:rPr>
          <w:sz w:val="22"/>
        </w:rPr>
        <w:t xml:space="preserve"> % (</w:t>
      </w:r>
      <w:r w:rsidR="009F19F4">
        <w:rPr>
          <w:sz w:val="22"/>
        </w:rPr>
        <w:t>2</w:t>
      </w:r>
      <w:r w:rsidR="00C75BF7">
        <w:rPr>
          <w:sz w:val="22"/>
        </w:rPr>
        <w:t> </w:t>
      </w:r>
      <w:r w:rsidR="00146081">
        <w:rPr>
          <w:sz w:val="22"/>
        </w:rPr>
        <w:t>procentní body</w:t>
      </w:r>
      <w:r w:rsidR="00A04A87">
        <w:rPr>
          <w:sz w:val="22"/>
        </w:rPr>
        <w:t>, tj. např. z 10% na 1</w:t>
      </w:r>
      <w:r w:rsidR="009F19F4">
        <w:rPr>
          <w:sz w:val="22"/>
        </w:rPr>
        <w:t>2</w:t>
      </w:r>
      <w:r w:rsidR="00A04A87">
        <w:rPr>
          <w:sz w:val="22"/>
        </w:rPr>
        <w:t>%</w:t>
      </w:r>
      <w:r w:rsidR="00146081">
        <w:rPr>
          <w:sz w:val="22"/>
        </w:rPr>
        <w:t>)</w:t>
      </w:r>
      <w:r w:rsidR="00D25F5B">
        <w:rPr>
          <w:sz w:val="22"/>
        </w:rPr>
        <w:t xml:space="preserve">, ve </w:t>
      </w:r>
      <w:r w:rsidR="004A3B48">
        <w:rPr>
          <w:sz w:val="22"/>
        </w:rPr>
        <w:t>třetím</w:t>
      </w:r>
      <w:r w:rsidR="00D25F5B">
        <w:rPr>
          <w:sz w:val="22"/>
        </w:rPr>
        <w:t xml:space="preserve"> roce o </w:t>
      </w:r>
      <w:r w:rsidR="00831AF8">
        <w:rPr>
          <w:sz w:val="22"/>
        </w:rPr>
        <w:t>2</w:t>
      </w:r>
      <w:r w:rsidR="00D25F5B">
        <w:rPr>
          <w:sz w:val="22"/>
        </w:rPr>
        <w:t xml:space="preserve"> %</w:t>
      </w:r>
      <w:r w:rsidR="00146081">
        <w:rPr>
          <w:sz w:val="22"/>
        </w:rPr>
        <w:t xml:space="preserve"> a </w:t>
      </w:r>
      <w:r w:rsidR="00896DF1">
        <w:rPr>
          <w:sz w:val="22"/>
        </w:rPr>
        <w:t>pak zůstane beze změny</w:t>
      </w:r>
      <w:r w:rsidR="00027A10">
        <w:rPr>
          <w:sz w:val="22"/>
        </w:rPr>
        <w:t>.</w:t>
      </w:r>
      <w:r>
        <w:rPr>
          <w:sz w:val="22"/>
        </w:rPr>
        <w:t xml:space="preserve"> </w:t>
      </w:r>
    </w:p>
    <w:p w14:paraId="5A58E30F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 w:rsidRPr="00516F35">
        <w:rPr>
          <w:sz w:val="22"/>
        </w:rPr>
        <w:t xml:space="preserve">Budoucí </w:t>
      </w:r>
      <w:r w:rsidRPr="00516F35">
        <w:rPr>
          <w:b/>
          <w:sz w:val="22"/>
        </w:rPr>
        <w:t>doby obratu zásob</w:t>
      </w:r>
      <w:r w:rsidR="00516F35">
        <w:rPr>
          <w:b/>
          <w:sz w:val="22"/>
        </w:rPr>
        <w:t>,</w:t>
      </w:r>
      <w:r w:rsidRPr="00516F35">
        <w:rPr>
          <w:b/>
          <w:sz w:val="22"/>
        </w:rPr>
        <w:t xml:space="preserve"> pohledávek</w:t>
      </w:r>
      <w:r w:rsidR="00516F35">
        <w:rPr>
          <w:b/>
          <w:sz w:val="22"/>
        </w:rPr>
        <w:t xml:space="preserve"> a</w:t>
      </w:r>
      <w:r w:rsidRPr="00516F35">
        <w:rPr>
          <w:sz w:val="22"/>
        </w:rPr>
        <w:t xml:space="preserve"> </w:t>
      </w:r>
      <w:r w:rsidR="00516F35" w:rsidRPr="00516F35">
        <w:rPr>
          <w:b/>
          <w:sz w:val="22"/>
        </w:rPr>
        <w:t>krátkodobých závazků</w:t>
      </w:r>
      <w:r w:rsidR="00516F35" w:rsidRPr="00516F35">
        <w:rPr>
          <w:sz w:val="22"/>
        </w:rPr>
        <w:t xml:space="preserve"> </w:t>
      </w:r>
      <w:r w:rsidRPr="00516F35">
        <w:rPr>
          <w:sz w:val="22"/>
        </w:rPr>
        <w:t>v</w:t>
      </w:r>
      <w:r w:rsidR="00C75BF7">
        <w:rPr>
          <w:sz w:val="22"/>
        </w:rPr>
        <w:t> první</w:t>
      </w:r>
      <w:r w:rsidR="00CE3BBF">
        <w:rPr>
          <w:sz w:val="22"/>
        </w:rPr>
        <w:t>m</w:t>
      </w:r>
      <w:r w:rsidR="00C75BF7">
        <w:rPr>
          <w:sz w:val="22"/>
        </w:rPr>
        <w:t xml:space="preserve"> </w:t>
      </w:r>
      <w:r w:rsidRPr="00516F35">
        <w:rPr>
          <w:sz w:val="22"/>
        </w:rPr>
        <w:t>plánovan</w:t>
      </w:r>
      <w:r w:rsidR="00CE3BBF">
        <w:rPr>
          <w:sz w:val="22"/>
        </w:rPr>
        <w:t>ém</w:t>
      </w:r>
      <w:r w:rsidRPr="00516F35">
        <w:rPr>
          <w:sz w:val="22"/>
        </w:rPr>
        <w:t xml:space="preserve"> </w:t>
      </w:r>
      <w:r w:rsidR="00CE3BBF">
        <w:rPr>
          <w:sz w:val="22"/>
        </w:rPr>
        <w:t>roce</w:t>
      </w:r>
      <w:r w:rsidRPr="00516F35">
        <w:rPr>
          <w:sz w:val="22"/>
        </w:rPr>
        <w:t xml:space="preserve"> vzrost</w:t>
      </w:r>
      <w:r w:rsidR="00516F35">
        <w:rPr>
          <w:sz w:val="22"/>
        </w:rPr>
        <w:t>ou</w:t>
      </w:r>
      <w:r w:rsidRPr="00516F35">
        <w:rPr>
          <w:sz w:val="22"/>
        </w:rPr>
        <w:t xml:space="preserve"> o </w:t>
      </w:r>
      <w:r w:rsidR="00CE3BBF">
        <w:rPr>
          <w:sz w:val="22"/>
        </w:rPr>
        <w:t>2</w:t>
      </w:r>
      <w:r w:rsidRPr="00516F35">
        <w:rPr>
          <w:sz w:val="22"/>
        </w:rPr>
        <w:t xml:space="preserve"> dn</w:t>
      </w:r>
      <w:r w:rsidR="00CE3BBF">
        <w:rPr>
          <w:sz w:val="22"/>
        </w:rPr>
        <w:t>y</w:t>
      </w:r>
      <w:r w:rsidR="00C75BF7">
        <w:rPr>
          <w:sz w:val="22"/>
        </w:rPr>
        <w:t xml:space="preserve"> a pak zůstanou beze změny</w:t>
      </w:r>
      <w:r w:rsidR="00684D35">
        <w:rPr>
          <w:sz w:val="22"/>
        </w:rPr>
        <w:t xml:space="preserve"> (plánovat jen součtové položky)</w:t>
      </w:r>
      <w:r w:rsidRPr="00516F35">
        <w:rPr>
          <w:sz w:val="22"/>
        </w:rPr>
        <w:t xml:space="preserve">. </w:t>
      </w:r>
    </w:p>
    <w:p w14:paraId="1F0BAC2A" w14:textId="77777777" w:rsidR="0047046A" w:rsidRDefault="0047046A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 w:rsidRPr="0047046A">
        <w:rPr>
          <w:b/>
          <w:sz w:val="22"/>
        </w:rPr>
        <w:t>Provozně nutné peníze</w:t>
      </w:r>
      <w:r>
        <w:rPr>
          <w:sz w:val="22"/>
        </w:rPr>
        <w:t>: okamžitá likvidita (peníze / krátkodobé neúročené závazky) je 20%</w:t>
      </w:r>
    </w:p>
    <w:p w14:paraId="1DD88873" w14:textId="77777777" w:rsidR="0047046A" w:rsidRPr="00516F35" w:rsidRDefault="0047046A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 xml:space="preserve">Časové rozlišení aktiv i </w:t>
      </w:r>
      <w:r w:rsidRPr="00CE539E">
        <w:rPr>
          <w:b/>
          <w:sz w:val="22"/>
        </w:rPr>
        <w:t xml:space="preserve">pasiv </w:t>
      </w:r>
      <w:r w:rsidR="00CE539E" w:rsidRPr="003E0F27">
        <w:rPr>
          <w:sz w:val="22"/>
        </w:rPr>
        <w:t>a</w:t>
      </w:r>
      <w:r w:rsidR="00CE539E" w:rsidRPr="00CE539E">
        <w:rPr>
          <w:b/>
          <w:sz w:val="22"/>
        </w:rPr>
        <w:t xml:space="preserve"> nákladové rezervy</w:t>
      </w:r>
      <w:r w:rsidR="00CE539E">
        <w:rPr>
          <w:sz w:val="22"/>
        </w:rPr>
        <w:t xml:space="preserve"> </w:t>
      </w:r>
      <w:r>
        <w:rPr>
          <w:sz w:val="22"/>
        </w:rPr>
        <w:t>zůstan</w:t>
      </w:r>
      <w:r w:rsidR="00CE539E">
        <w:rPr>
          <w:sz w:val="22"/>
        </w:rPr>
        <w:t>ou</w:t>
      </w:r>
      <w:r>
        <w:rPr>
          <w:sz w:val="22"/>
        </w:rPr>
        <w:t xml:space="preserve"> na úrovni posledního skutečného roku.</w:t>
      </w:r>
    </w:p>
    <w:p w14:paraId="16F7584E" w14:textId="77777777" w:rsidR="00901E25" w:rsidRDefault="00414D8F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Dlouhodobý nutný majetek</w:t>
      </w:r>
      <w:r w:rsidR="00901E25">
        <w:rPr>
          <w:sz w:val="22"/>
        </w:rPr>
        <w:t xml:space="preserve"> </w:t>
      </w:r>
      <w:r>
        <w:rPr>
          <w:sz w:val="22"/>
        </w:rPr>
        <w:t>poroste stejným tempem jako tržby.</w:t>
      </w:r>
    </w:p>
    <w:p w14:paraId="2A03687A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sz w:val="22"/>
        </w:rPr>
        <w:t xml:space="preserve">Budoucí </w:t>
      </w:r>
      <w:r>
        <w:rPr>
          <w:b/>
          <w:sz w:val="22"/>
        </w:rPr>
        <w:t>sazba daně</w:t>
      </w:r>
      <w:r>
        <w:rPr>
          <w:sz w:val="22"/>
        </w:rPr>
        <w:t xml:space="preserve"> z příjmů 19 %</w:t>
      </w:r>
      <w:r w:rsidR="00516F35">
        <w:rPr>
          <w:sz w:val="22"/>
        </w:rPr>
        <w:t xml:space="preserve"> (pro zjednodušení pro všechny roky stejná)</w:t>
      </w:r>
      <w:r w:rsidR="0047046A">
        <w:rPr>
          <w:sz w:val="22"/>
        </w:rPr>
        <w:t>.</w:t>
      </w:r>
    </w:p>
    <w:p w14:paraId="5FCBD660" w14:textId="77777777" w:rsidR="00A964BA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Provozně nenutný majetek</w:t>
      </w:r>
      <w:r>
        <w:rPr>
          <w:sz w:val="22"/>
        </w:rPr>
        <w:t>: veškerý dlouhodobý finanční majetek</w:t>
      </w:r>
      <w:r w:rsidR="0047046A">
        <w:rPr>
          <w:sz w:val="22"/>
        </w:rPr>
        <w:t>, krátkodobé cenné papíry,</w:t>
      </w:r>
      <w:r>
        <w:rPr>
          <w:sz w:val="22"/>
        </w:rPr>
        <w:t xml:space="preserve"> dlouhodobé pohledávky</w:t>
      </w:r>
      <w:r w:rsidR="00EF7762">
        <w:rPr>
          <w:sz w:val="22"/>
        </w:rPr>
        <w:t>, peněžní prostředky nad zadaný limit likvidity</w:t>
      </w:r>
      <w:r w:rsidR="0047046A">
        <w:rPr>
          <w:sz w:val="22"/>
        </w:rPr>
        <w:t>.</w:t>
      </w:r>
    </w:p>
    <w:p w14:paraId="29EC1AB6" w14:textId="77777777" w:rsidR="00901E25" w:rsidRDefault="00A964BA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Diskontní míra</w:t>
      </w:r>
      <w:r w:rsidRPr="00A964BA">
        <w:rPr>
          <w:sz w:val="22"/>
        </w:rPr>
        <w:t>:</w:t>
      </w:r>
      <w:r w:rsidR="00901E25">
        <w:rPr>
          <w:sz w:val="22"/>
        </w:rPr>
        <w:t xml:space="preserve"> </w:t>
      </w:r>
    </w:p>
    <w:p w14:paraId="61C978EE" w14:textId="77777777" w:rsidR="0047046A" w:rsidRDefault="00901E25" w:rsidP="00A964BA">
      <w:pPr>
        <w:numPr>
          <w:ilvl w:val="3"/>
          <w:numId w:val="41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b/>
          <w:sz w:val="22"/>
        </w:rPr>
        <w:t>Náklady cizího kapitálu</w:t>
      </w:r>
      <w:r>
        <w:rPr>
          <w:sz w:val="22"/>
        </w:rPr>
        <w:t xml:space="preserve"> = </w:t>
      </w:r>
      <w:r w:rsidR="008D3009">
        <w:rPr>
          <w:sz w:val="22"/>
        </w:rPr>
        <w:t xml:space="preserve">nominální výše </w:t>
      </w:r>
      <w:r w:rsidR="00831AF8">
        <w:rPr>
          <w:sz w:val="22"/>
        </w:rPr>
        <w:t>4</w:t>
      </w:r>
      <w:r>
        <w:rPr>
          <w:sz w:val="22"/>
        </w:rPr>
        <w:t xml:space="preserve"> % </w:t>
      </w:r>
      <w:r w:rsidR="007F0765">
        <w:rPr>
          <w:sz w:val="22"/>
        </w:rPr>
        <w:t>(před daní).</w:t>
      </w:r>
    </w:p>
    <w:p w14:paraId="093120E0" w14:textId="77777777" w:rsidR="00A964BA" w:rsidRDefault="0047046A" w:rsidP="00A964BA">
      <w:pPr>
        <w:numPr>
          <w:ilvl w:val="3"/>
          <w:numId w:val="41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b/>
          <w:sz w:val="22"/>
        </w:rPr>
        <w:t>N</w:t>
      </w:r>
      <w:r w:rsidR="00901E25">
        <w:rPr>
          <w:b/>
          <w:sz w:val="22"/>
        </w:rPr>
        <w:t>áklady vlastního kapitálu</w:t>
      </w:r>
      <w:r w:rsidR="00073B89">
        <w:rPr>
          <w:b/>
          <w:sz w:val="22"/>
        </w:rPr>
        <w:t xml:space="preserve"> nezadlužené</w:t>
      </w:r>
      <w:r w:rsidR="00901E25">
        <w:rPr>
          <w:sz w:val="22"/>
        </w:rPr>
        <w:t xml:space="preserve">: </w:t>
      </w:r>
      <w:r w:rsidR="00A6058B">
        <w:rPr>
          <w:sz w:val="22"/>
        </w:rPr>
        <w:t xml:space="preserve">použít model rizika země, </w:t>
      </w:r>
      <w:r w:rsidR="00901E25">
        <w:rPr>
          <w:sz w:val="22"/>
        </w:rPr>
        <w:t xml:space="preserve">bezriziková míra = </w:t>
      </w:r>
      <w:r w:rsidR="00516F35">
        <w:rPr>
          <w:sz w:val="22"/>
        </w:rPr>
        <w:t>výnos do doby splatnosti nejdelších US dluhopisů</w:t>
      </w:r>
      <w:r w:rsidR="00C26EF4">
        <w:rPr>
          <w:sz w:val="22"/>
        </w:rPr>
        <w:t xml:space="preserve"> k datu ocenění</w:t>
      </w:r>
      <w:r w:rsidR="00901E25">
        <w:rPr>
          <w:sz w:val="22"/>
        </w:rPr>
        <w:t xml:space="preserve">, riziková prémie trhu = </w:t>
      </w:r>
      <w:r w:rsidR="00516F35">
        <w:rPr>
          <w:sz w:val="22"/>
        </w:rPr>
        <w:t>nejdelší historický geometrický průměr dle Damodarana</w:t>
      </w:r>
      <w:r w:rsidR="00C26EF4">
        <w:rPr>
          <w:sz w:val="22"/>
        </w:rPr>
        <w:t xml:space="preserve"> k da</w:t>
      </w:r>
      <w:r w:rsidR="00CE3BBF">
        <w:rPr>
          <w:sz w:val="22"/>
        </w:rPr>
        <w:t>tu ocenění</w:t>
      </w:r>
      <w:r w:rsidR="00901E25">
        <w:rPr>
          <w:sz w:val="22"/>
        </w:rPr>
        <w:t xml:space="preserve">, beta při </w:t>
      </w:r>
      <w:r w:rsidR="00027A10">
        <w:rPr>
          <w:sz w:val="22"/>
        </w:rPr>
        <w:t>nulovém</w:t>
      </w:r>
      <w:r w:rsidR="00901E25">
        <w:rPr>
          <w:sz w:val="22"/>
        </w:rPr>
        <w:t xml:space="preserve"> zadlužení </w:t>
      </w:r>
      <w:r w:rsidR="00073B89">
        <w:rPr>
          <w:sz w:val="22"/>
        </w:rPr>
        <w:t>upravené o hotovost = průměr odvětví</w:t>
      </w:r>
      <w:r w:rsidR="00EA6A79">
        <w:rPr>
          <w:sz w:val="22"/>
        </w:rPr>
        <w:t xml:space="preserve"> k datu ocenění</w:t>
      </w:r>
      <w:r w:rsidR="00901E25">
        <w:rPr>
          <w:sz w:val="22"/>
        </w:rPr>
        <w:t xml:space="preserve">, </w:t>
      </w:r>
      <w:r w:rsidR="002924B3">
        <w:rPr>
          <w:sz w:val="22"/>
        </w:rPr>
        <w:t>riziko země dle Damodarana</w:t>
      </w:r>
      <w:r w:rsidR="00F172A8">
        <w:rPr>
          <w:sz w:val="22"/>
        </w:rPr>
        <w:t xml:space="preserve"> stanovené podle ratingu</w:t>
      </w:r>
      <w:r w:rsidR="00CE3BBF">
        <w:rPr>
          <w:sz w:val="22"/>
        </w:rPr>
        <w:t xml:space="preserve"> země</w:t>
      </w:r>
      <w:r w:rsidR="00F172A8">
        <w:rPr>
          <w:sz w:val="22"/>
        </w:rPr>
        <w:t xml:space="preserve"> (tj. ne podle CDS)</w:t>
      </w:r>
      <w:r w:rsidR="00073B89">
        <w:rPr>
          <w:sz w:val="22"/>
        </w:rPr>
        <w:t xml:space="preserve"> </w:t>
      </w:r>
      <w:r w:rsidR="000A0100">
        <w:rPr>
          <w:sz w:val="22"/>
        </w:rPr>
        <w:t xml:space="preserve">a podle poměru volatility akcií a dluhopisů pro ČR </w:t>
      </w:r>
      <w:r w:rsidR="00073B89">
        <w:rPr>
          <w:sz w:val="22"/>
        </w:rPr>
        <w:t>k datu ocenění.</w:t>
      </w:r>
    </w:p>
    <w:p w14:paraId="3CC6DFC2" w14:textId="77777777" w:rsidR="00B858BE" w:rsidRDefault="00A964BA" w:rsidP="00A964BA">
      <w:pPr>
        <w:numPr>
          <w:ilvl w:val="3"/>
          <w:numId w:val="41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b/>
          <w:sz w:val="22"/>
        </w:rPr>
        <w:t xml:space="preserve">Náklady vlastního kapitálu zadlužené </w:t>
      </w:r>
      <w:r>
        <w:rPr>
          <w:sz w:val="22"/>
        </w:rPr>
        <w:t>dopočítat reagenční funkcí Miller-Modigliani</w:t>
      </w:r>
      <w:r w:rsidR="007F0765">
        <w:rPr>
          <w:sz w:val="22"/>
        </w:rPr>
        <w:t xml:space="preserve"> s  kapitálovou strukturou vyladěnou pomocí iterací</w:t>
      </w:r>
      <w:r>
        <w:rPr>
          <w:sz w:val="22"/>
        </w:rPr>
        <w:t>.</w:t>
      </w:r>
      <w:r w:rsidR="002924B3">
        <w:rPr>
          <w:sz w:val="22"/>
        </w:rPr>
        <w:t xml:space="preserve"> </w:t>
      </w:r>
      <w:r w:rsidR="00901E25">
        <w:rPr>
          <w:sz w:val="22"/>
        </w:rPr>
        <w:t xml:space="preserve"> </w:t>
      </w:r>
    </w:p>
    <w:p w14:paraId="3482D9AA" w14:textId="77777777" w:rsidR="00901E25" w:rsidRDefault="00A964BA" w:rsidP="00A964BA">
      <w:pPr>
        <w:numPr>
          <w:ilvl w:val="3"/>
          <w:numId w:val="41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b/>
          <w:sz w:val="22"/>
        </w:rPr>
        <w:t>P</w:t>
      </w:r>
      <w:r w:rsidR="00901E25">
        <w:rPr>
          <w:b/>
          <w:sz w:val="22"/>
        </w:rPr>
        <w:t>odíl vlastního a cizího kapitálu</w:t>
      </w:r>
      <w:r w:rsidR="00901E25">
        <w:rPr>
          <w:sz w:val="22"/>
        </w:rPr>
        <w:t xml:space="preserve"> </w:t>
      </w:r>
      <w:r>
        <w:rPr>
          <w:sz w:val="22"/>
        </w:rPr>
        <w:t xml:space="preserve">pro náklady VK a pro WACC </w:t>
      </w:r>
      <w:r w:rsidR="00901E25">
        <w:rPr>
          <w:sz w:val="22"/>
        </w:rPr>
        <w:t xml:space="preserve">stanovit jako </w:t>
      </w:r>
      <w:r>
        <w:rPr>
          <w:sz w:val="22"/>
        </w:rPr>
        <w:t xml:space="preserve">vyladěný pomocí iterací </w:t>
      </w:r>
      <w:r w:rsidR="00901E25">
        <w:rPr>
          <w:sz w:val="22"/>
        </w:rPr>
        <w:t xml:space="preserve">podle </w:t>
      </w:r>
      <w:r>
        <w:rPr>
          <w:sz w:val="22"/>
        </w:rPr>
        <w:t>provozní Hb, Hn a CK</w:t>
      </w:r>
      <w:r w:rsidR="00D25F5B">
        <w:rPr>
          <w:sz w:val="22"/>
        </w:rPr>
        <w:t xml:space="preserve"> k datu ocenění</w:t>
      </w:r>
      <w:r w:rsidR="00901E25">
        <w:rPr>
          <w:sz w:val="22"/>
        </w:rPr>
        <w:t xml:space="preserve">, ale </w:t>
      </w:r>
      <w:r>
        <w:rPr>
          <w:sz w:val="22"/>
        </w:rPr>
        <w:t>jednotně pro všechny roky stejný</w:t>
      </w:r>
      <w:r w:rsidR="00D25F5B">
        <w:rPr>
          <w:sz w:val="22"/>
        </w:rPr>
        <w:t>.</w:t>
      </w:r>
    </w:p>
    <w:p w14:paraId="1AE50D7A" w14:textId="77777777" w:rsidR="00901E25" w:rsidRDefault="00A964BA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sz w:val="22"/>
        </w:rPr>
        <w:t>P</w:t>
      </w:r>
      <w:r w:rsidR="00FE7106">
        <w:rPr>
          <w:sz w:val="22"/>
        </w:rPr>
        <w:t>okračující hodnota</w:t>
      </w:r>
      <w:r w:rsidR="00901E25">
        <w:rPr>
          <w:sz w:val="22"/>
        </w:rPr>
        <w:t xml:space="preserve"> pomocí </w:t>
      </w:r>
      <w:r w:rsidR="00901E25">
        <w:rPr>
          <w:b/>
          <w:sz w:val="22"/>
        </w:rPr>
        <w:t>Parametrického vzorce</w:t>
      </w:r>
      <w:r>
        <w:rPr>
          <w:b/>
          <w:sz w:val="22"/>
        </w:rPr>
        <w:t>:</w:t>
      </w:r>
      <w:r w:rsidR="00901E25">
        <w:rPr>
          <w:sz w:val="22"/>
        </w:rPr>
        <w:t xml:space="preserve"> </w:t>
      </w:r>
      <w:r>
        <w:rPr>
          <w:sz w:val="22"/>
        </w:rPr>
        <w:t>t</w:t>
      </w:r>
      <w:r w:rsidR="00901E25">
        <w:rPr>
          <w:sz w:val="22"/>
        </w:rPr>
        <w:t>emp</w:t>
      </w:r>
      <w:r>
        <w:rPr>
          <w:sz w:val="22"/>
        </w:rPr>
        <w:t>o</w:t>
      </w:r>
      <w:r w:rsidR="00901E25">
        <w:rPr>
          <w:sz w:val="22"/>
        </w:rPr>
        <w:t xml:space="preserve"> růstu </w:t>
      </w:r>
      <w:r w:rsidR="00831AF8">
        <w:rPr>
          <w:sz w:val="22"/>
        </w:rPr>
        <w:t>2</w:t>
      </w:r>
      <w:r w:rsidR="00901E25">
        <w:rPr>
          <w:sz w:val="22"/>
        </w:rPr>
        <w:t xml:space="preserve"> % a rentabilit</w:t>
      </w:r>
      <w:r w:rsidR="00057FEC">
        <w:rPr>
          <w:sz w:val="22"/>
        </w:rPr>
        <w:t>a</w:t>
      </w:r>
      <w:r w:rsidR="00901E25">
        <w:rPr>
          <w:sz w:val="22"/>
        </w:rPr>
        <w:t xml:space="preserve"> investic </w:t>
      </w:r>
      <w:r w:rsidR="008D3009">
        <w:rPr>
          <w:sz w:val="22"/>
        </w:rPr>
        <w:t>ve výši rentability investovaného kapitálu na konci 1. fáze (KPVH po dani</w:t>
      </w:r>
      <w:r w:rsidR="008D3009">
        <w:rPr>
          <w:sz w:val="22"/>
          <w:vertAlign w:val="subscript"/>
        </w:rPr>
        <w:t>T+1</w:t>
      </w:r>
      <w:r w:rsidR="008D3009">
        <w:rPr>
          <w:sz w:val="22"/>
        </w:rPr>
        <w:t xml:space="preserve"> / K</w:t>
      </w:r>
      <w:r w:rsidR="008D3009">
        <w:rPr>
          <w:sz w:val="22"/>
          <w:vertAlign w:val="subscript"/>
        </w:rPr>
        <w:t>T</w:t>
      </w:r>
      <w:r w:rsidR="008D3009">
        <w:rPr>
          <w:sz w:val="22"/>
        </w:rPr>
        <w:t>)</w:t>
      </w:r>
      <w:r w:rsidR="00901E25">
        <w:rPr>
          <w:sz w:val="22"/>
        </w:rPr>
        <w:t>.</w:t>
      </w:r>
    </w:p>
    <w:p w14:paraId="6042B611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80" w:line="240" w:lineRule="auto"/>
        <w:rPr>
          <w:sz w:val="22"/>
        </w:rPr>
      </w:pPr>
      <w:r>
        <w:rPr>
          <w:sz w:val="22"/>
        </w:rPr>
        <w:t>Pokud by data za výchozí skutečný rok byla natolik netypická, že by znemožňovala udělat prognózu podle těchto zjednodušujících předpokladů</w:t>
      </w:r>
      <w:r w:rsidR="00027A10">
        <w:rPr>
          <w:sz w:val="22"/>
        </w:rPr>
        <w:t xml:space="preserve"> (například by vycházel záporný KPVH nebo </w:t>
      </w:r>
      <w:r w:rsidR="007F0765">
        <w:rPr>
          <w:sz w:val="22"/>
        </w:rPr>
        <w:t xml:space="preserve">příliš záporné </w:t>
      </w:r>
      <w:r w:rsidR="00027A10">
        <w:rPr>
          <w:sz w:val="22"/>
        </w:rPr>
        <w:t>FC</w:t>
      </w:r>
      <w:r w:rsidR="007F0765">
        <w:rPr>
          <w:sz w:val="22"/>
        </w:rPr>
        <w:t>F</w:t>
      </w:r>
      <w:r w:rsidR="00027A10">
        <w:rPr>
          <w:sz w:val="22"/>
        </w:rPr>
        <w:t>F</w:t>
      </w:r>
      <w:r w:rsidR="007F0765">
        <w:rPr>
          <w:sz w:val="22"/>
        </w:rPr>
        <w:t xml:space="preserve"> i na konci 1. fáze</w:t>
      </w:r>
      <w:r w:rsidR="00027A10">
        <w:rPr>
          <w:sz w:val="22"/>
        </w:rPr>
        <w:t>)</w:t>
      </w:r>
      <w:r>
        <w:rPr>
          <w:sz w:val="22"/>
        </w:rPr>
        <w:t>, může si student některé předpoklady pozměnit</w:t>
      </w:r>
      <w:r w:rsidR="00CE3BBF">
        <w:rPr>
          <w:sz w:val="22"/>
        </w:rPr>
        <w:t xml:space="preserve"> (např. n</w:t>
      </w:r>
      <w:r w:rsidR="00A964BA">
        <w:rPr>
          <w:sz w:val="22"/>
        </w:rPr>
        <w:t>a</w:t>
      </w:r>
      <w:r w:rsidR="00CE3BBF">
        <w:rPr>
          <w:sz w:val="22"/>
        </w:rPr>
        <w:t>prognózovat vyšší ziskovou marži</w:t>
      </w:r>
      <w:r w:rsidR="007F0765">
        <w:rPr>
          <w:sz w:val="22"/>
        </w:rPr>
        <w:t>, nižší investice apod.</w:t>
      </w:r>
      <w:r w:rsidR="00CE3BBF">
        <w:rPr>
          <w:sz w:val="22"/>
        </w:rPr>
        <w:t>)</w:t>
      </w:r>
      <w:r>
        <w:rPr>
          <w:sz w:val="22"/>
        </w:rPr>
        <w:t xml:space="preserve">, v práci je však třeba </w:t>
      </w:r>
      <w:r>
        <w:rPr>
          <w:b/>
          <w:sz w:val="22"/>
        </w:rPr>
        <w:t>na tyto odchylky výslovně upozornit</w:t>
      </w:r>
      <w:r>
        <w:rPr>
          <w:sz w:val="22"/>
        </w:rPr>
        <w:t>.</w:t>
      </w:r>
    </w:p>
    <w:p w14:paraId="7A4FA594" w14:textId="77777777" w:rsidR="00901E25" w:rsidRDefault="006D5D48" w:rsidP="00023EFD">
      <w:pPr>
        <w:numPr>
          <w:ilvl w:val="1"/>
          <w:numId w:val="13"/>
        </w:numPr>
        <w:tabs>
          <w:tab w:val="left" w:pos="709"/>
        </w:tabs>
        <w:spacing w:before="120" w:after="120" w:line="240" w:lineRule="auto"/>
        <w:ind w:left="714" w:hanging="357"/>
        <w:rPr>
          <w:sz w:val="22"/>
        </w:rPr>
      </w:pPr>
      <w:r>
        <w:rPr>
          <w:b/>
          <w:sz w:val="22"/>
        </w:rPr>
        <w:t>Zjednodušené ocenění metodou DCF entity s parametrickým vzorcem</w:t>
      </w:r>
      <w:r w:rsidR="007F0765">
        <w:rPr>
          <w:sz w:val="22"/>
        </w:rPr>
        <w:t xml:space="preserve"> (výstupy do semin. práce)</w:t>
      </w:r>
      <w:r w:rsidR="00901E25">
        <w:rPr>
          <w:sz w:val="22"/>
        </w:rPr>
        <w:t>:</w:t>
      </w:r>
    </w:p>
    <w:p w14:paraId="5C902530" w14:textId="77777777" w:rsidR="00023EFD" w:rsidRPr="00023EFD" w:rsidRDefault="00023EFD" w:rsidP="006D5D48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 w:rsidRPr="00023EFD">
        <w:rPr>
          <w:b/>
          <w:sz w:val="22"/>
        </w:rPr>
        <w:t>Tabulka s dopočtem KPVH před daní</w:t>
      </w:r>
      <w:r>
        <w:rPr>
          <w:sz w:val="22"/>
        </w:rPr>
        <w:t xml:space="preserve"> (po odpisech) za minulý rok</w:t>
      </w:r>
    </w:p>
    <w:p w14:paraId="20EF772F" w14:textId="77777777" w:rsidR="006D5D48" w:rsidRDefault="006D5D48" w:rsidP="006D5D48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Tabulka s g</w:t>
      </w:r>
      <w:r w:rsidR="00901E25">
        <w:rPr>
          <w:b/>
          <w:sz w:val="22"/>
        </w:rPr>
        <w:t>enerátory hodnoty</w:t>
      </w:r>
      <w:r w:rsidR="00901E25">
        <w:rPr>
          <w:sz w:val="22"/>
        </w:rPr>
        <w:t xml:space="preserve">: </w:t>
      </w:r>
      <w:r>
        <w:rPr>
          <w:sz w:val="22"/>
        </w:rPr>
        <w:t>1 minulý rok, prognóza na 4 roky (tržby a tempo růstu tržeb, KPVH před daní a ziskové marže, položky pracovního kapitálu a doby obratu, DHM a DNM a tempo růstu)</w:t>
      </w:r>
    </w:p>
    <w:p w14:paraId="1DBC0A43" w14:textId="77777777" w:rsidR="00901E25" w:rsidRPr="006D5D48" w:rsidRDefault="006D5D48" w:rsidP="006D5D48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 w:rsidRPr="006D5D48">
        <w:rPr>
          <w:b/>
          <w:sz w:val="22"/>
        </w:rPr>
        <w:t>Tab</w:t>
      </w:r>
      <w:r>
        <w:rPr>
          <w:b/>
          <w:sz w:val="22"/>
        </w:rPr>
        <w:t>ulka s transparentně dopočteným provozně nutným DM, PK a investovaným kapitálem</w:t>
      </w:r>
      <w:r w:rsidRPr="006D5D48">
        <w:rPr>
          <w:sz w:val="22"/>
        </w:rPr>
        <w:t>:</w:t>
      </w:r>
      <w:r w:rsidR="00901E25" w:rsidRPr="006D5D48">
        <w:rPr>
          <w:sz w:val="22"/>
        </w:rPr>
        <w:t xml:space="preserve"> </w:t>
      </w:r>
      <w:r>
        <w:rPr>
          <w:sz w:val="22"/>
        </w:rPr>
        <w:br/>
        <w:t>1 minulý rok, prognóza 4 roky</w:t>
      </w:r>
    </w:p>
    <w:p w14:paraId="51E26B0E" w14:textId="77777777" w:rsidR="006D5D48" w:rsidRPr="006D5D48" w:rsidRDefault="006D5D48" w:rsidP="006D5D48">
      <w:pPr>
        <w:numPr>
          <w:ilvl w:val="2"/>
          <w:numId w:val="13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b/>
          <w:sz w:val="22"/>
        </w:rPr>
        <w:t>Tabulka s transparentně dopočteným FCFF</w:t>
      </w:r>
      <w:r>
        <w:rPr>
          <w:sz w:val="22"/>
        </w:rPr>
        <w:t xml:space="preserve">: 4 roky první fáze, dopočet přes investice </w:t>
      </w:r>
      <w:r w:rsidRPr="006D5D48">
        <w:rPr>
          <w:sz w:val="22"/>
        </w:rPr>
        <w:t>netto</w:t>
      </w:r>
      <w:r w:rsidR="00C10202" w:rsidRPr="006D5D48">
        <w:rPr>
          <w:sz w:val="22"/>
        </w:rPr>
        <w:t xml:space="preserve"> </w:t>
      </w:r>
    </w:p>
    <w:p w14:paraId="7631D332" w14:textId="77777777" w:rsidR="008D3009" w:rsidRDefault="006D5D48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 w:rsidRPr="006D5D48">
        <w:rPr>
          <w:b/>
          <w:sz w:val="22"/>
        </w:rPr>
        <w:t>Náklady kapitálu</w:t>
      </w:r>
      <w:r>
        <w:rPr>
          <w:sz w:val="22"/>
        </w:rPr>
        <w:t xml:space="preserve">: </w:t>
      </w:r>
    </w:p>
    <w:p w14:paraId="70802091" w14:textId="77777777" w:rsidR="00901E25" w:rsidRDefault="008D3009" w:rsidP="008D3009">
      <w:pPr>
        <w:numPr>
          <w:ilvl w:val="3"/>
          <w:numId w:val="13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sz w:val="22"/>
        </w:rPr>
        <w:t>vstupní data pro každou složku nákladů vlastního kapitálu s co</w:t>
      </w:r>
      <w:r w:rsidR="00C10202">
        <w:rPr>
          <w:sz w:val="22"/>
        </w:rPr>
        <w:t xml:space="preserve"> </w:t>
      </w:r>
      <w:r>
        <w:rPr>
          <w:sz w:val="22"/>
        </w:rPr>
        <w:t>nej</w:t>
      </w:r>
      <w:r w:rsidR="0086234C">
        <w:rPr>
          <w:sz w:val="22"/>
        </w:rPr>
        <w:t>podrobn</w:t>
      </w:r>
      <w:r>
        <w:rPr>
          <w:sz w:val="22"/>
        </w:rPr>
        <w:t>ějším</w:t>
      </w:r>
      <w:r w:rsidR="0086234C">
        <w:rPr>
          <w:sz w:val="22"/>
        </w:rPr>
        <w:t xml:space="preserve"> </w:t>
      </w:r>
      <w:r w:rsidR="00C10202">
        <w:rPr>
          <w:sz w:val="22"/>
        </w:rPr>
        <w:t>popis</w:t>
      </w:r>
      <w:r>
        <w:rPr>
          <w:sz w:val="22"/>
        </w:rPr>
        <w:t>em</w:t>
      </w:r>
      <w:r w:rsidR="00C10202">
        <w:rPr>
          <w:sz w:val="22"/>
        </w:rPr>
        <w:t xml:space="preserve"> </w:t>
      </w:r>
      <w:r>
        <w:rPr>
          <w:sz w:val="22"/>
        </w:rPr>
        <w:t>(</w:t>
      </w:r>
      <w:r w:rsidR="00315DE5">
        <w:rPr>
          <w:sz w:val="22"/>
        </w:rPr>
        <w:t>o jakou veličinu se</w:t>
      </w:r>
      <w:r>
        <w:rPr>
          <w:sz w:val="22"/>
        </w:rPr>
        <w:t xml:space="preserve"> přesně jedná,</w:t>
      </w:r>
      <w:r w:rsidR="0086234C">
        <w:rPr>
          <w:sz w:val="22"/>
        </w:rPr>
        <w:t xml:space="preserve"> </w:t>
      </w:r>
      <w:r>
        <w:rPr>
          <w:sz w:val="22"/>
        </w:rPr>
        <w:t xml:space="preserve">její </w:t>
      </w:r>
      <w:r w:rsidR="00C10202">
        <w:rPr>
          <w:sz w:val="22"/>
        </w:rPr>
        <w:t>hodnot</w:t>
      </w:r>
      <w:r w:rsidR="00CE3BBF">
        <w:rPr>
          <w:sz w:val="22"/>
        </w:rPr>
        <w:t>u</w:t>
      </w:r>
      <w:r w:rsidR="00C10202">
        <w:rPr>
          <w:sz w:val="22"/>
        </w:rPr>
        <w:t>,</w:t>
      </w:r>
      <w:r w:rsidR="00CE3BBF">
        <w:rPr>
          <w:sz w:val="22"/>
        </w:rPr>
        <w:t xml:space="preserve"> datum, ke kterému se vztahuje,</w:t>
      </w:r>
      <w:r w:rsidR="00C10202">
        <w:rPr>
          <w:sz w:val="22"/>
        </w:rPr>
        <w:t xml:space="preserve"> pramen</w:t>
      </w:r>
      <w:r>
        <w:rPr>
          <w:sz w:val="22"/>
        </w:rPr>
        <w:t>, případně který kapitálový trh atd.,</w:t>
      </w:r>
      <w:r w:rsidR="00CE3BBF">
        <w:rPr>
          <w:sz w:val="22"/>
        </w:rPr>
        <w:t xml:space="preserve"> </w:t>
      </w:r>
      <w:r>
        <w:rPr>
          <w:sz w:val="22"/>
        </w:rPr>
        <w:t>č</w:t>
      </w:r>
      <w:r w:rsidR="00CE3BBF">
        <w:rPr>
          <w:sz w:val="22"/>
        </w:rPr>
        <w:t>tenář by neměl u žádné složky zůstat v</w:t>
      </w:r>
      <w:r>
        <w:rPr>
          <w:sz w:val="22"/>
        </w:rPr>
        <w:t> </w:t>
      </w:r>
      <w:r w:rsidR="00CE3BBF">
        <w:rPr>
          <w:sz w:val="22"/>
        </w:rPr>
        <w:t>nejistotě</w:t>
      </w:r>
      <w:r>
        <w:rPr>
          <w:sz w:val="22"/>
        </w:rPr>
        <w:t>),</w:t>
      </w:r>
    </w:p>
    <w:p w14:paraId="7E6E612B" w14:textId="77777777" w:rsidR="008D3009" w:rsidRDefault="008D3009" w:rsidP="008D3009">
      <w:pPr>
        <w:numPr>
          <w:ilvl w:val="3"/>
          <w:numId w:val="13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sz w:val="22"/>
        </w:rPr>
        <w:t>vyladěná výsledná struktura vlastního a cizího kapitálu</w:t>
      </w:r>
    </w:p>
    <w:p w14:paraId="6B92B09F" w14:textId="77777777" w:rsidR="008D3009" w:rsidRPr="006D5D48" w:rsidRDefault="008D3009" w:rsidP="008D3009">
      <w:pPr>
        <w:numPr>
          <w:ilvl w:val="3"/>
          <w:numId w:val="13"/>
        </w:numPr>
        <w:tabs>
          <w:tab w:val="left" w:pos="993"/>
        </w:tabs>
        <w:spacing w:after="60" w:line="240" w:lineRule="auto"/>
        <w:rPr>
          <w:sz w:val="22"/>
        </w:rPr>
      </w:pPr>
      <w:r>
        <w:rPr>
          <w:sz w:val="22"/>
        </w:rPr>
        <w:t>transparentně popsaný dopočet zadlužených nákladů vlastního kapitálu a WACC</w:t>
      </w:r>
    </w:p>
    <w:p w14:paraId="758EA34B" w14:textId="77777777" w:rsidR="00901E25" w:rsidRDefault="00901E25" w:rsidP="00807936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Hodnota podniku</w:t>
      </w:r>
      <w:r>
        <w:rPr>
          <w:sz w:val="22"/>
        </w:rPr>
        <w:t xml:space="preserve"> podle DCF entity, </w:t>
      </w:r>
      <w:r w:rsidR="008D3009">
        <w:rPr>
          <w:sz w:val="22"/>
        </w:rPr>
        <w:t>tabulka s výpočtem hodnoty 1</w:t>
      </w:r>
      <w:r w:rsidR="00184821">
        <w:rPr>
          <w:sz w:val="22"/>
        </w:rPr>
        <w:t>.</w:t>
      </w:r>
      <w:r w:rsidR="008D3009">
        <w:rPr>
          <w:sz w:val="22"/>
        </w:rPr>
        <w:t xml:space="preserve"> fáze, transparentní výpočet pokračující hodnoty s komentářem, zda podnik bude ve 2. fázi tvořit hodnotu nebo ne (konstatovat</w:t>
      </w:r>
      <w:r w:rsidR="00023EFD">
        <w:rPr>
          <w:sz w:val="22"/>
        </w:rPr>
        <w:t xml:space="preserve"> a uvést důvod</w:t>
      </w:r>
      <w:r w:rsidR="008D3009">
        <w:rPr>
          <w:sz w:val="22"/>
        </w:rPr>
        <w:t>), transparentní výpočet provozní Hb, provozní Hn, výsledn</w:t>
      </w:r>
      <w:r w:rsidR="00C417AD">
        <w:rPr>
          <w:sz w:val="22"/>
        </w:rPr>
        <w:t>á</w:t>
      </w:r>
      <w:r w:rsidR="008D3009">
        <w:rPr>
          <w:sz w:val="22"/>
        </w:rPr>
        <w:t xml:space="preserve"> Hn</w:t>
      </w:r>
      <w:r w:rsidR="00172CEC">
        <w:rPr>
          <w:sz w:val="22"/>
        </w:rPr>
        <w:t xml:space="preserve"> včetně rozpisu, z jakých položek se skládá úročený cizí kapitál a neprovozní majetek</w:t>
      </w:r>
      <w:r w:rsidR="008D3009">
        <w:rPr>
          <w:sz w:val="22"/>
        </w:rPr>
        <w:t>.</w:t>
      </w:r>
    </w:p>
    <w:p w14:paraId="7C1B64DC" w14:textId="77777777" w:rsidR="008D3009" w:rsidRDefault="008D3009" w:rsidP="00BC35BD">
      <w:pPr>
        <w:keepNext/>
        <w:keepLines/>
        <w:numPr>
          <w:ilvl w:val="1"/>
          <w:numId w:val="13"/>
        </w:numPr>
        <w:tabs>
          <w:tab w:val="left" w:pos="709"/>
        </w:tabs>
        <w:spacing w:before="120" w:after="120" w:line="240" w:lineRule="auto"/>
        <w:ind w:left="714" w:hanging="357"/>
        <w:rPr>
          <w:sz w:val="22"/>
        </w:rPr>
      </w:pPr>
      <w:r>
        <w:rPr>
          <w:b/>
          <w:sz w:val="22"/>
        </w:rPr>
        <w:lastRenderedPageBreak/>
        <w:t xml:space="preserve">Zjednodušené ocenění metodou </w:t>
      </w:r>
      <w:r w:rsidR="00CF6378">
        <w:rPr>
          <w:b/>
          <w:sz w:val="22"/>
        </w:rPr>
        <w:t>tržního porovnání</w:t>
      </w:r>
      <w:r w:rsidR="007F0765">
        <w:rPr>
          <w:b/>
          <w:sz w:val="22"/>
        </w:rPr>
        <w:t xml:space="preserve"> </w:t>
      </w:r>
      <w:r w:rsidR="007F0765">
        <w:rPr>
          <w:sz w:val="22"/>
        </w:rPr>
        <w:t>(výstupy do seminární práce)</w:t>
      </w:r>
      <w:r>
        <w:rPr>
          <w:sz w:val="22"/>
        </w:rPr>
        <w:t>:</w:t>
      </w:r>
    </w:p>
    <w:p w14:paraId="41F94C6D" w14:textId="77777777" w:rsidR="00DE5AE2" w:rsidRDefault="00DE5AE2" w:rsidP="00BC35BD">
      <w:pPr>
        <w:keepNext/>
        <w:keepLines/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b/>
          <w:sz w:val="22"/>
        </w:rPr>
        <w:t>4 dílčí ocenění</w:t>
      </w:r>
      <w:r>
        <w:rPr>
          <w:sz w:val="22"/>
        </w:rPr>
        <w:t xml:space="preserve"> s využitím výnosového a majetkového násobitele „equity“ a výnosového a majetkového násobitele „entity“ dle vlastní volby z webu prof. Damodarana s transparentním popisem volby násobitele (jaký násobitel, z jakého trhu,</w:t>
      </w:r>
      <w:r w:rsidR="00EA6A79">
        <w:rPr>
          <w:sz w:val="22"/>
        </w:rPr>
        <w:t xml:space="preserve"> k jakému datu,</w:t>
      </w:r>
      <w:r>
        <w:rPr>
          <w:sz w:val="22"/>
        </w:rPr>
        <w:t xml:space="preserve"> kolik je průměr odvětví a kolik zvolená hodnota pro oceňovaný podnik) a výpočtu dílčího ocenění</w:t>
      </w:r>
      <w:r w:rsidR="00C73664">
        <w:rPr>
          <w:sz w:val="22"/>
        </w:rPr>
        <w:t>. Neprovozní majetek bude kalkulován ve stejné výši jako u výnosového ocenění</w:t>
      </w:r>
      <w:r>
        <w:rPr>
          <w:sz w:val="22"/>
        </w:rPr>
        <w:t xml:space="preserve">. </w:t>
      </w:r>
    </w:p>
    <w:p w14:paraId="13F5B8DC" w14:textId="77777777" w:rsidR="008D3009" w:rsidRDefault="00DE5AE2" w:rsidP="008D3009">
      <w:pPr>
        <w:numPr>
          <w:ilvl w:val="2"/>
          <w:numId w:val="13"/>
        </w:numPr>
        <w:tabs>
          <w:tab w:val="left" w:pos="993"/>
        </w:tabs>
        <w:spacing w:after="60" w:line="240" w:lineRule="auto"/>
        <w:ind w:left="1077" w:hanging="357"/>
        <w:rPr>
          <w:sz w:val="22"/>
        </w:rPr>
      </w:pPr>
      <w:r>
        <w:rPr>
          <w:sz w:val="22"/>
        </w:rPr>
        <w:t>Hodnota každého násobitele by měla být zvolena na úrovni odvětvového průměru, pod ním nebo nad ním se stručným zdůvodněním s ohledem na porovnání tempa růstu a rentability u oceňovaného podniku oproti průměru růstu a rentability v odvětví (riziko se bude předpokládat shodné u oceňovaného podniku a u odvětví).</w:t>
      </w:r>
      <w:r w:rsidR="00EA6A79">
        <w:rPr>
          <w:sz w:val="22"/>
        </w:rPr>
        <w:t xml:space="preserve"> Násobitele by měly být brány k datu ocenění.</w:t>
      </w:r>
    </w:p>
    <w:p w14:paraId="54C1796E" w14:textId="77777777" w:rsidR="00901E25" w:rsidRDefault="00901E25" w:rsidP="00C50FEB">
      <w:pPr>
        <w:spacing w:after="0" w:line="240" w:lineRule="auto"/>
        <w:rPr>
          <w:b/>
          <w:sz w:val="22"/>
        </w:rPr>
      </w:pPr>
    </w:p>
    <w:p w14:paraId="1D5C62EE" w14:textId="77777777" w:rsidR="00901E25" w:rsidRDefault="00901E25" w:rsidP="00C50FEB">
      <w:pPr>
        <w:keepNext/>
        <w:spacing w:after="120" w:line="240" w:lineRule="auto"/>
        <w:jc w:val="left"/>
        <w:rPr>
          <w:b/>
          <w:szCs w:val="24"/>
        </w:rPr>
      </w:pPr>
      <w:r>
        <w:rPr>
          <w:b/>
          <w:szCs w:val="24"/>
        </w:rPr>
        <w:t>HODNOCENÍ SEMINÁRNÍ PRÁCE:</w:t>
      </w:r>
    </w:p>
    <w:p w14:paraId="7C4C0280" w14:textId="77777777" w:rsidR="00901E25" w:rsidRDefault="00901E25">
      <w:pPr>
        <w:spacing w:after="80" w:line="240" w:lineRule="auto"/>
        <w:jc w:val="left"/>
        <w:rPr>
          <w:szCs w:val="24"/>
        </w:rPr>
      </w:pPr>
      <w:r>
        <w:rPr>
          <w:szCs w:val="24"/>
        </w:rPr>
        <w:t xml:space="preserve">Maximální počet bodů za práci je </w:t>
      </w:r>
      <w:r w:rsidRPr="00843071">
        <w:rPr>
          <w:b/>
          <w:szCs w:val="24"/>
        </w:rPr>
        <w:t>100 bodů</w:t>
      </w:r>
      <w:r>
        <w:rPr>
          <w:szCs w:val="24"/>
        </w:rPr>
        <w:t>.</w:t>
      </w:r>
    </w:p>
    <w:p w14:paraId="0B08D1A1" w14:textId="77777777" w:rsidR="00901E25" w:rsidRDefault="00901E25">
      <w:pPr>
        <w:spacing w:after="80" w:line="240" w:lineRule="auto"/>
        <w:jc w:val="left"/>
        <w:rPr>
          <w:szCs w:val="24"/>
        </w:rPr>
      </w:pPr>
      <w:r>
        <w:rPr>
          <w:szCs w:val="24"/>
        </w:rPr>
        <w:t>Z maximálního počtu bodů budou strženy body za zjištěné nedostatky, a to podle závažnosti nedostatku.</w:t>
      </w:r>
    </w:p>
    <w:p w14:paraId="6C5EBAF8" w14:textId="77777777" w:rsidR="00901E25" w:rsidRDefault="00901E25" w:rsidP="005A7CC2">
      <w:pPr>
        <w:spacing w:beforeLines="50" w:before="120" w:after="80" w:line="240" w:lineRule="auto"/>
        <w:jc w:val="left"/>
        <w:rPr>
          <w:szCs w:val="24"/>
        </w:rPr>
      </w:pPr>
      <w:r>
        <w:rPr>
          <w:szCs w:val="24"/>
        </w:rPr>
        <w:t>Rámcová stupnice pro stržené body s příklady nejčastěji se objevujících nedostatků: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6936"/>
        <w:gridCol w:w="1994"/>
      </w:tblGrid>
      <w:tr w:rsidR="00901E25" w:rsidRPr="002C31B6" w14:paraId="45FCBF9D" w14:textId="77777777" w:rsidTr="00E22F7F">
        <w:tc>
          <w:tcPr>
            <w:tcW w:w="1270" w:type="dxa"/>
            <w:shd w:val="clear" w:color="auto" w:fill="E0E0E0"/>
          </w:tcPr>
          <w:p w14:paraId="09379FC1" w14:textId="77777777" w:rsidR="00901E25" w:rsidRPr="002C31B6" w:rsidRDefault="00901E25" w:rsidP="00DE5AE2">
            <w:pPr>
              <w:spacing w:after="0" w:line="240" w:lineRule="auto"/>
              <w:jc w:val="left"/>
              <w:rPr>
                <w:b/>
                <w:sz w:val="20"/>
                <w:szCs w:val="22"/>
              </w:rPr>
            </w:pPr>
            <w:r w:rsidRPr="002C31B6">
              <w:rPr>
                <w:b/>
                <w:sz w:val="20"/>
                <w:szCs w:val="22"/>
              </w:rPr>
              <w:t>Závažnost</w:t>
            </w:r>
          </w:p>
        </w:tc>
        <w:tc>
          <w:tcPr>
            <w:tcW w:w="7060" w:type="dxa"/>
            <w:shd w:val="clear" w:color="auto" w:fill="E0E0E0"/>
          </w:tcPr>
          <w:p w14:paraId="35F852B5" w14:textId="77777777" w:rsidR="00901E25" w:rsidRPr="002C31B6" w:rsidRDefault="00901E25" w:rsidP="00DE5AE2">
            <w:pPr>
              <w:spacing w:after="0" w:line="240" w:lineRule="auto"/>
              <w:jc w:val="left"/>
              <w:rPr>
                <w:b/>
                <w:sz w:val="20"/>
                <w:szCs w:val="22"/>
              </w:rPr>
            </w:pPr>
            <w:r w:rsidRPr="002C31B6">
              <w:rPr>
                <w:b/>
                <w:sz w:val="20"/>
                <w:szCs w:val="22"/>
              </w:rPr>
              <w:t>Příklady</w:t>
            </w:r>
          </w:p>
        </w:tc>
        <w:tc>
          <w:tcPr>
            <w:tcW w:w="2015" w:type="dxa"/>
            <w:shd w:val="clear" w:color="auto" w:fill="E0E0E0"/>
          </w:tcPr>
          <w:p w14:paraId="1289A7F3" w14:textId="77777777" w:rsidR="00901E25" w:rsidRPr="002C31B6" w:rsidRDefault="00901E25" w:rsidP="00DE5AE2">
            <w:pPr>
              <w:spacing w:after="0" w:line="240" w:lineRule="auto"/>
              <w:jc w:val="center"/>
              <w:rPr>
                <w:b/>
                <w:sz w:val="20"/>
                <w:szCs w:val="22"/>
              </w:rPr>
            </w:pPr>
            <w:r w:rsidRPr="002C31B6">
              <w:rPr>
                <w:b/>
                <w:sz w:val="20"/>
                <w:szCs w:val="22"/>
              </w:rPr>
              <w:t>Orientační počet stržených bodů</w:t>
            </w:r>
          </w:p>
        </w:tc>
      </w:tr>
      <w:tr w:rsidR="00901E25" w:rsidRPr="002C31B6" w14:paraId="1DA7CB9F" w14:textId="77777777" w:rsidTr="00E22F7F">
        <w:tc>
          <w:tcPr>
            <w:tcW w:w="1270" w:type="dxa"/>
          </w:tcPr>
          <w:p w14:paraId="0C4FB591" w14:textId="77777777" w:rsidR="00901E25" w:rsidRPr="002C31B6" w:rsidRDefault="00901E25" w:rsidP="00DE5AE2">
            <w:pPr>
              <w:spacing w:after="20" w:line="240" w:lineRule="auto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Malá</w:t>
            </w:r>
          </w:p>
        </w:tc>
        <w:tc>
          <w:tcPr>
            <w:tcW w:w="7060" w:type="dxa"/>
          </w:tcPr>
          <w:p w14:paraId="68F532BF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Neoznačené jednotky u položek v tabulce nebo grafu</w:t>
            </w:r>
          </w:p>
          <w:p w14:paraId="21A8B6A2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Chybějící nebo zavádějící označení položek v tabulce nebo grafu</w:t>
            </w:r>
          </w:p>
          <w:p w14:paraId="6073383F" w14:textId="77777777" w:rsidR="00CF6378" w:rsidRPr="002C31B6" w:rsidRDefault="00CF6378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Chybějící popis u některé položky nákladů VK, pokud samotná hodnota je v</w:t>
            </w:r>
            <w:r w:rsidR="00C50FEB" w:rsidRPr="002C31B6">
              <w:rPr>
                <w:sz w:val="20"/>
                <w:szCs w:val="22"/>
              </w:rPr>
              <w:t> </w:t>
            </w:r>
            <w:r w:rsidRPr="002C31B6">
              <w:rPr>
                <w:sz w:val="20"/>
                <w:szCs w:val="22"/>
              </w:rPr>
              <w:t>pořádku</w:t>
            </w:r>
          </w:p>
          <w:p w14:paraId="3F41A918" w14:textId="77777777" w:rsidR="00C50FEB" w:rsidRPr="002C31B6" w:rsidRDefault="00C50FEB" w:rsidP="00C50FEB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Chybný výrok o tvorbě hodnoty v pokračující hodnotě (jde</w:t>
            </w:r>
            <w:r w:rsidR="00121B89">
              <w:rPr>
                <w:sz w:val="20"/>
                <w:szCs w:val="22"/>
              </w:rPr>
              <w:t xml:space="preserve"> obecně</w:t>
            </w:r>
            <w:r w:rsidRPr="002C31B6">
              <w:rPr>
                <w:sz w:val="20"/>
                <w:szCs w:val="22"/>
              </w:rPr>
              <w:t xml:space="preserve"> o chybu závažnou, nižší bodová srážka je jen kvůli malé proporcionální váze tohoto jednoho výroku oproti celé seminární práci)</w:t>
            </w:r>
          </w:p>
        </w:tc>
        <w:tc>
          <w:tcPr>
            <w:tcW w:w="2015" w:type="dxa"/>
            <w:vAlign w:val="center"/>
          </w:tcPr>
          <w:p w14:paraId="5500E040" w14:textId="77777777" w:rsidR="00901E25" w:rsidRPr="002C31B6" w:rsidRDefault="00901E25" w:rsidP="00DE5AE2">
            <w:pPr>
              <w:spacing w:after="20" w:line="240" w:lineRule="auto"/>
              <w:jc w:val="center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5</w:t>
            </w:r>
          </w:p>
        </w:tc>
      </w:tr>
      <w:tr w:rsidR="00901E25" w:rsidRPr="002C31B6" w14:paraId="472717F5" w14:textId="77777777" w:rsidTr="00E22F7F">
        <w:tc>
          <w:tcPr>
            <w:tcW w:w="1270" w:type="dxa"/>
          </w:tcPr>
          <w:p w14:paraId="493B5A78" w14:textId="77777777" w:rsidR="00901E25" w:rsidRPr="002C31B6" w:rsidRDefault="00901E25" w:rsidP="00DE5AE2">
            <w:pPr>
              <w:spacing w:after="20" w:line="240" w:lineRule="auto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Střední</w:t>
            </w:r>
          </w:p>
        </w:tc>
        <w:tc>
          <w:tcPr>
            <w:tcW w:w="7060" w:type="dxa"/>
          </w:tcPr>
          <w:p w14:paraId="050A80EB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Chybně konstruovaný graf z některé databáze</w:t>
            </w:r>
          </w:p>
          <w:p w14:paraId="7F006A3E" w14:textId="77777777" w:rsidR="00901E25" w:rsidRPr="002C31B6" w:rsidRDefault="00CF6378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Ocenění na základě nezdaněného zisku</w:t>
            </w:r>
          </w:p>
          <w:p w14:paraId="4DF8D98A" w14:textId="77777777" w:rsidR="000230CE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Práce obsahuje odchylku od jednotného zadání bez upozornění, že se jedná o záměrnou odchylku z určitého důvodu</w:t>
            </w:r>
          </w:p>
        </w:tc>
        <w:tc>
          <w:tcPr>
            <w:tcW w:w="2015" w:type="dxa"/>
            <w:vAlign w:val="center"/>
          </w:tcPr>
          <w:p w14:paraId="5EBE5747" w14:textId="77777777" w:rsidR="00901E25" w:rsidRPr="002C31B6" w:rsidRDefault="00901E25" w:rsidP="00DE5AE2">
            <w:pPr>
              <w:spacing w:after="20" w:line="240" w:lineRule="auto"/>
              <w:jc w:val="center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10</w:t>
            </w:r>
          </w:p>
        </w:tc>
      </w:tr>
      <w:tr w:rsidR="00901E25" w:rsidRPr="002C31B6" w14:paraId="60321C63" w14:textId="77777777" w:rsidTr="00E22F7F">
        <w:tc>
          <w:tcPr>
            <w:tcW w:w="1270" w:type="dxa"/>
          </w:tcPr>
          <w:p w14:paraId="41CEF1B0" w14:textId="77777777" w:rsidR="00901E25" w:rsidRPr="002C31B6" w:rsidRDefault="00901E25" w:rsidP="00DE5AE2">
            <w:pPr>
              <w:spacing w:after="20" w:line="240" w:lineRule="auto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Velká</w:t>
            </w:r>
          </w:p>
        </w:tc>
        <w:tc>
          <w:tcPr>
            <w:tcW w:w="7060" w:type="dxa"/>
          </w:tcPr>
          <w:p w14:paraId="3B1AC50E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Chybějící nebo chybné vzorce v </w:t>
            </w:r>
            <w:r w:rsidR="00CF6378" w:rsidRPr="002C31B6">
              <w:rPr>
                <w:sz w:val="20"/>
                <w:szCs w:val="22"/>
              </w:rPr>
              <w:t>Excel</w:t>
            </w:r>
            <w:r w:rsidR="00DE5AE2" w:rsidRPr="002C31B6">
              <w:rPr>
                <w:sz w:val="20"/>
                <w:szCs w:val="22"/>
              </w:rPr>
              <w:t>u</w:t>
            </w:r>
            <w:r w:rsidR="00CF6378" w:rsidRPr="002C31B6">
              <w:rPr>
                <w:sz w:val="20"/>
                <w:szCs w:val="22"/>
              </w:rPr>
              <w:t xml:space="preserve"> u prognózy</w:t>
            </w:r>
            <w:r w:rsidRPr="002C31B6">
              <w:rPr>
                <w:sz w:val="20"/>
                <w:szCs w:val="22"/>
              </w:rPr>
              <w:t xml:space="preserve"> generátorů hodnoty</w:t>
            </w:r>
          </w:p>
          <w:p w14:paraId="0D0674F1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Chybně</w:t>
            </w:r>
            <w:r w:rsidR="00CF6378" w:rsidRPr="002C31B6">
              <w:rPr>
                <w:sz w:val="20"/>
                <w:szCs w:val="22"/>
              </w:rPr>
              <w:t xml:space="preserve"> nebo netransparentně (a tím nepřezkoumatelně)</w:t>
            </w:r>
            <w:r w:rsidRPr="002C31B6">
              <w:rPr>
                <w:sz w:val="20"/>
                <w:szCs w:val="22"/>
              </w:rPr>
              <w:t xml:space="preserve"> </w:t>
            </w:r>
            <w:r w:rsidR="00CF6378" w:rsidRPr="002C31B6">
              <w:rPr>
                <w:sz w:val="20"/>
                <w:szCs w:val="22"/>
              </w:rPr>
              <w:t xml:space="preserve">stanovená </w:t>
            </w:r>
            <w:r w:rsidRPr="002C31B6">
              <w:rPr>
                <w:sz w:val="20"/>
                <w:szCs w:val="22"/>
              </w:rPr>
              <w:t>diskontní míra</w:t>
            </w:r>
          </w:p>
          <w:p w14:paraId="4BC106A2" w14:textId="77777777" w:rsidR="00DF6F89" w:rsidRPr="002C31B6" w:rsidRDefault="00DF6F89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Chybějící tabulka nebo graf z předepsaného obsahu sem</w:t>
            </w:r>
            <w:r w:rsidR="001A526D" w:rsidRPr="002C31B6">
              <w:rPr>
                <w:sz w:val="20"/>
                <w:szCs w:val="22"/>
              </w:rPr>
              <w:t>inární</w:t>
            </w:r>
            <w:r w:rsidRPr="002C31B6">
              <w:rPr>
                <w:sz w:val="20"/>
                <w:szCs w:val="22"/>
              </w:rPr>
              <w:t xml:space="preserve"> práce</w:t>
            </w:r>
          </w:p>
          <w:p w14:paraId="472860D3" w14:textId="77777777" w:rsidR="00CF6378" w:rsidRPr="002C31B6" w:rsidRDefault="00CF6378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Chybná aplikace multiplikátorů</w:t>
            </w:r>
          </w:p>
        </w:tc>
        <w:tc>
          <w:tcPr>
            <w:tcW w:w="2015" w:type="dxa"/>
            <w:vAlign w:val="center"/>
          </w:tcPr>
          <w:p w14:paraId="73174EAC" w14:textId="77777777" w:rsidR="00901E25" w:rsidRPr="002C31B6" w:rsidRDefault="00FE7106" w:rsidP="00121B89">
            <w:pPr>
              <w:spacing w:after="20" w:line="240" w:lineRule="auto"/>
              <w:jc w:val="center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1</w:t>
            </w:r>
            <w:r w:rsidR="001A526D" w:rsidRPr="002C31B6">
              <w:rPr>
                <w:sz w:val="20"/>
                <w:szCs w:val="22"/>
              </w:rPr>
              <w:t>0</w:t>
            </w:r>
            <w:r w:rsidRPr="002C31B6">
              <w:rPr>
                <w:sz w:val="20"/>
                <w:szCs w:val="22"/>
              </w:rPr>
              <w:t>-</w:t>
            </w:r>
            <w:r w:rsidR="00901E25" w:rsidRPr="002C31B6">
              <w:rPr>
                <w:sz w:val="20"/>
                <w:szCs w:val="22"/>
              </w:rPr>
              <w:t>2</w:t>
            </w:r>
            <w:r w:rsidR="00121B89">
              <w:rPr>
                <w:sz w:val="20"/>
                <w:szCs w:val="22"/>
              </w:rPr>
              <w:t>0</w:t>
            </w:r>
          </w:p>
        </w:tc>
      </w:tr>
      <w:tr w:rsidR="00901E25" w:rsidRPr="002C31B6" w14:paraId="29973CEE" w14:textId="77777777" w:rsidTr="00E22F7F">
        <w:tc>
          <w:tcPr>
            <w:tcW w:w="1270" w:type="dxa"/>
          </w:tcPr>
          <w:p w14:paraId="7D77DE33" w14:textId="77777777" w:rsidR="00901E25" w:rsidRPr="002C31B6" w:rsidRDefault="00901E25" w:rsidP="00DE5AE2">
            <w:pPr>
              <w:spacing w:after="20" w:line="240" w:lineRule="auto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Zásadní</w:t>
            </w:r>
          </w:p>
        </w:tc>
        <w:tc>
          <w:tcPr>
            <w:tcW w:w="7060" w:type="dxa"/>
          </w:tcPr>
          <w:p w14:paraId="7A943B5E" w14:textId="77777777" w:rsidR="00901E25" w:rsidRPr="002C31B6" w:rsidRDefault="00901E25" w:rsidP="00DE5AE2">
            <w:pPr>
              <w:numPr>
                <w:ilvl w:val="0"/>
                <w:numId w:val="18"/>
              </w:numPr>
              <w:tabs>
                <w:tab w:val="clear" w:pos="397"/>
              </w:tabs>
              <w:spacing w:after="20" w:line="240" w:lineRule="auto"/>
              <w:ind w:left="175" w:hanging="175"/>
              <w:jc w:val="left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Nevyladěná kapitálová struktura u diskontní míry</w:t>
            </w:r>
            <w:r w:rsidR="00FE7106" w:rsidRPr="002C31B6">
              <w:rPr>
                <w:sz w:val="20"/>
                <w:szCs w:val="2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23B67445" w14:textId="77777777" w:rsidR="00901E25" w:rsidRPr="002C31B6" w:rsidRDefault="00901E25" w:rsidP="00121B89">
            <w:pPr>
              <w:spacing w:after="20" w:line="240" w:lineRule="auto"/>
              <w:jc w:val="center"/>
              <w:rPr>
                <w:sz w:val="20"/>
                <w:szCs w:val="22"/>
              </w:rPr>
            </w:pPr>
            <w:r w:rsidRPr="002C31B6">
              <w:rPr>
                <w:sz w:val="20"/>
                <w:szCs w:val="22"/>
              </w:rPr>
              <w:t>2</w:t>
            </w:r>
            <w:r w:rsidR="00121B89">
              <w:rPr>
                <w:sz w:val="20"/>
                <w:szCs w:val="22"/>
              </w:rPr>
              <w:t>0</w:t>
            </w:r>
          </w:p>
        </w:tc>
      </w:tr>
    </w:tbl>
    <w:p w14:paraId="2A094357" w14:textId="77777777" w:rsidR="00901E25" w:rsidRPr="005A7CC2" w:rsidRDefault="00901E25" w:rsidP="00C50FEB">
      <w:pPr>
        <w:spacing w:before="120" w:after="120" w:line="240" w:lineRule="auto"/>
        <w:jc w:val="left"/>
        <w:rPr>
          <w:sz w:val="22"/>
          <w:szCs w:val="22"/>
        </w:rPr>
      </w:pPr>
      <w:r w:rsidRPr="005A7CC2">
        <w:rPr>
          <w:sz w:val="22"/>
          <w:szCs w:val="22"/>
        </w:rPr>
        <w:t>Pokud bude analyzován podnik, který nebude mít žádný úročený cizí kapitál, bude hodnocení sníženo o 2 body jako kompenzace za menší pracnost seminární práce.</w:t>
      </w:r>
    </w:p>
    <w:p w14:paraId="40692205" w14:textId="77777777" w:rsidR="00901E25" w:rsidRPr="00296D1E" w:rsidRDefault="00901E25">
      <w:pPr>
        <w:spacing w:after="80" w:line="240" w:lineRule="auto"/>
        <w:jc w:val="left"/>
        <w:rPr>
          <w:b/>
          <w:szCs w:val="24"/>
        </w:rPr>
      </w:pPr>
      <w:r w:rsidRPr="00296D1E">
        <w:rPr>
          <w:b/>
          <w:szCs w:val="24"/>
        </w:rPr>
        <w:t>Výsledné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2481"/>
      </w:tblGrid>
      <w:tr w:rsidR="00901E25" w:rsidRPr="00C50FEB" w14:paraId="1EAC4DBA" w14:textId="77777777" w:rsidTr="00E22F7F">
        <w:tc>
          <w:tcPr>
            <w:tcW w:w="2481" w:type="dxa"/>
            <w:shd w:val="clear" w:color="auto" w:fill="E0E0E0"/>
          </w:tcPr>
          <w:p w14:paraId="1C4AE340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C50FEB">
              <w:rPr>
                <w:b/>
                <w:sz w:val="22"/>
                <w:szCs w:val="24"/>
              </w:rPr>
              <w:t>Získaný počet bodů</w:t>
            </w:r>
          </w:p>
        </w:tc>
        <w:tc>
          <w:tcPr>
            <w:tcW w:w="2481" w:type="dxa"/>
            <w:shd w:val="clear" w:color="auto" w:fill="E0E0E0"/>
          </w:tcPr>
          <w:p w14:paraId="7FFCC206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b/>
                <w:sz w:val="22"/>
                <w:szCs w:val="24"/>
              </w:rPr>
            </w:pPr>
            <w:r w:rsidRPr="00C50FEB">
              <w:rPr>
                <w:b/>
                <w:sz w:val="22"/>
                <w:szCs w:val="24"/>
              </w:rPr>
              <w:t>Plán E - známka</w:t>
            </w:r>
          </w:p>
        </w:tc>
      </w:tr>
      <w:tr w:rsidR="00901E25" w:rsidRPr="00C50FEB" w14:paraId="4AF07ECE" w14:textId="77777777" w:rsidTr="00E22F7F">
        <w:tc>
          <w:tcPr>
            <w:tcW w:w="2481" w:type="dxa"/>
          </w:tcPr>
          <w:p w14:paraId="532EA1A0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90 – 100</w:t>
            </w:r>
          </w:p>
        </w:tc>
        <w:tc>
          <w:tcPr>
            <w:tcW w:w="2481" w:type="dxa"/>
          </w:tcPr>
          <w:p w14:paraId="3EFB54C9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1</w:t>
            </w:r>
          </w:p>
        </w:tc>
      </w:tr>
      <w:tr w:rsidR="00901E25" w:rsidRPr="00C50FEB" w14:paraId="3D7FB12B" w14:textId="77777777" w:rsidTr="00E22F7F">
        <w:tc>
          <w:tcPr>
            <w:tcW w:w="2481" w:type="dxa"/>
          </w:tcPr>
          <w:p w14:paraId="073D923C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75 – 89</w:t>
            </w:r>
          </w:p>
        </w:tc>
        <w:tc>
          <w:tcPr>
            <w:tcW w:w="2481" w:type="dxa"/>
          </w:tcPr>
          <w:p w14:paraId="601FC2C4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2</w:t>
            </w:r>
          </w:p>
        </w:tc>
      </w:tr>
      <w:tr w:rsidR="00901E25" w:rsidRPr="00C50FEB" w14:paraId="11297DC0" w14:textId="77777777" w:rsidTr="00E22F7F">
        <w:tc>
          <w:tcPr>
            <w:tcW w:w="2481" w:type="dxa"/>
          </w:tcPr>
          <w:p w14:paraId="66BCA1E6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60 – 74</w:t>
            </w:r>
          </w:p>
        </w:tc>
        <w:tc>
          <w:tcPr>
            <w:tcW w:w="2481" w:type="dxa"/>
          </w:tcPr>
          <w:p w14:paraId="6D9BE83E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3</w:t>
            </w:r>
          </w:p>
        </w:tc>
      </w:tr>
      <w:tr w:rsidR="00901E25" w:rsidRPr="00C50FEB" w14:paraId="20BB1A80" w14:textId="77777777" w:rsidTr="00E22F7F">
        <w:tc>
          <w:tcPr>
            <w:tcW w:w="2481" w:type="dxa"/>
          </w:tcPr>
          <w:p w14:paraId="7FC9DF86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50 – 59</w:t>
            </w:r>
          </w:p>
        </w:tc>
        <w:tc>
          <w:tcPr>
            <w:tcW w:w="2481" w:type="dxa"/>
          </w:tcPr>
          <w:p w14:paraId="7E912165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4+</w:t>
            </w:r>
          </w:p>
        </w:tc>
      </w:tr>
      <w:tr w:rsidR="00901E25" w:rsidRPr="00C50FEB" w14:paraId="314E9E5E" w14:textId="77777777" w:rsidTr="00E22F7F">
        <w:tc>
          <w:tcPr>
            <w:tcW w:w="2481" w:type="dxa"/>
          </w:tcPr>
          <w:p w14:paraId="44F46F40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0 – 49</w:t>
            </w:r>
          </w:p>
        </w:tc>
        <w:tc>
          <w:tcPr>
            <w:tcW w:w="2481" w:type="dxa"/>
          </w:tcPr>
          <w:p w14:paraId="705CC06A" w14:textId="77777777" w:rsidR="00901E25" w:rsidRPr="00C50FEB" w:rsidRDefault="00901E25" w:rsidP="00E22F7F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sz w:val="22"/>
                <w:szCs w:val="24"/>
              </w:rPr>
            </w:pPr>
            <w:r w:rsidRPr="00C50FEB">
              <w:rPr>
                <w:sz w:val="22"/>
                <w:szCs w:val="24"/>
              </w:rPr>
              <w:t>4</w:t>
            </w:r>
          </w:p>
        </w:tc>
      </w:tr>
    </w:tbl>
    <w:p w14:paraId="301E395E" w14:textId="77777777" w:rsidR="00901E25" w:rsidRPr="005A7CC2" w:rsidRDefault="00901E25" w:rsidP="00C50FEB">
      <w:pPr>
        <w:spacing w:before="240" w:after="80" w:line="240" w:lineRule="auto"/>
        <w:rPr>
          <w:sz w:val="22"/>
          <w:szCs w:val="22"/>
        </w:rPr>
      </w:pPr>
      <w:r w:rsidRPr="005A7CC2">
        <w:rPr>
          <w:sz w:val="22"/>
          <w:szCs w:val="22"/>
        </w:rPr>
        <w:t>Pokud je za práci přiděleno 50 až 59 bodů, je možno práci opravit. Učitel jednoznačně určí, které ze zjištěných nedostatků je nutné opravit, a student je musí opravit do termínu stanoveného učitelem. Pokud budou tyto chyby do stanoveného termínu správně odstraněny, bude prác</w:t>
      </w:r>
      <w:r w:rsidR="005A7CC2" w:rsidRPr="005A7CC2">
        <w:rPr>
          <w:sz w:val="22"/>
          <w:szCs w:val="22"/>
        </w:rPr>
        <w:t>e hodnocena známkou 3</w:t>
      </w:r>
      <w:r w:rsidRPr="005A7CC2">
        <w:rPr>
          <w:sz w:val="22"/>
          <w:szCs w:val="22"/>
        </w:rPr>
        <w:t>.</w:t>
      </w:r>
    </w:p>
    <w:p w14:paraId="128B8DFD" w14:textId="77777777" w:rsidR="00901E25" w:rsidRPr="005A7CC2" w:rsidRDefault="00901E25" w:rsidP="00C50FEB">
      <w:pPr>
        <w:spacing w:after="80" w:line="240" w:lineRule="auto"/>
        <w:rPr>
          <w:sz w:val="22"/>
          <w:szCs w:val="22"/>
        </w:rPr>
      </w:pPr>
      <w:r w:rsidRPr="005A7CC2">
        <w:rPr>
          <w:sz w:val="22"/>
          <w:szCs w:val="22"/>
        </w:rPr>
        <w:t>Pokud bude práce vypracována dvojicí studentů, získají oba studenti stejné hodnocení a nebude se zjišťovat, jaké části který z nich zpracovával.</w:t>
      </w:r>
    </w:p>
    <w:p w14:paraId="0ED2D74A" w14:textId="77777777" w:rsidR="003C7760" w:rsidRPr="005A7CC2" w:rsidRDefault="00901E25" w:rsidP="00CB0EFD">
      <w:pPr>
        <w:spacing w:after="80" w:line="240" w:lineRule="auto"/>
        <w:rPr>
          <w:sz w:val="22"/>
          <w:szCs w:val="22"/>
        </w:rPr>
      </w:pPr>
      <w:r w:rsidRPr="005A7CC2">
        <w:rPr>
          <w:sz w:val="22"/>
          <w:szCs w:val="22"/>
        </w:rPr>
        <w:t xml:space="preserve">Předpokládá se, že student zpracovává seminární práci průběžně během semestru. </w:t>
      </w:r>
      <w:r w:rsidR="00CC53B6">
        <w:rPr>
          <w:sz w:val="22"/>
          <w:szCs w:val="22"/>
        </w:rPr>
        <w:t>P</w:t>
      </w:r>
      <w:r w:rsidRPr="005A7CC2">
        <w:rPr>
          <w:sz w:val="22"/>
          <w:szCs w:val="22"/>
        </w:rPr>
        <w:t xml:space="preserve">ředmět </w:t>
      </w:r>
      <w:r w:rsidR="00CC53B6">
        <w:rPr>
          <w:sz w:val="22"/>
          <w:szCs w:val="22"/>
        </w:rPr>
        <w:t xml:space="preserve">není možné </w:t>
      </w:r>
      <w:r w:rsidRPr="005A7CC2">
        <w:rPr>
          <w:sz w:val="22"/>
          <w:szCs w:val="22"/>
        </w:rPr>
        <w:t>omluvit z důvodu časového zaneprázdnění studenta.</w:t>
      </w:r>
      <w:r w:rsidR="005009A4">
        <w:rPr>
          <w:sz w:val="22"/>
          <w:szCs w:val="22"/>
        </w:rPr>
        <w:t xml:space="preserve"> Omlouvání</w:t>
      </w:r>
      <w:r w:rsidR="00CC53B6">
        <w:rPr>
          <w:sz w:val="22"/>
          <w:szCs w:val="22"/>
        </w:rPr>
        <w:t xml:space="preserve"> předmětu</w:t>
      </w:r>
      <w:r w:rsidR="005009A4">
        <w:rPr>
          <w:sz w:val="22"/>
          <w:szCs w:val="22"/>
        </w:rPr>
        <w:t xml:space="preserve"> se řídí pravidly vydanými VŠE a Fakultou financí a účetnictví. K omluvě předmětu je tedy nutný písemný doklad, zejména neschopenka (nebo alespoň řádně vyplněný fakultní </w:t>
      </w:r>
      <w:r w:rsidR="005009A4" w:rsidRPr="001063AA">
        <w:rPr>
          <w:sz w:val="22"/>
          <w:szCs w:val="22"/>
        </w:rPr>
        <w:t>formulář „Potvrzení o zdravotním stavu“</w:t>
      </w:r>
      <w:r w:rsidR="005009A4">
        <w:rPr>
          <w:sz w:val="22"/>
          <w:szCs w:val="22"/>
        </w:rPr>
        <w:t xml:space="preserve">) prokazující zdravotní neschopnost </w:t>
      </w:r>
      <w:r w:rsidR="00705270">
        <w:rPr>
          <w:sz w:val="22"/>
          <w:szCs w:val="22"/>
        </w:rPr>
        <w:t>trvající</w:t>
      </w:r>
      <w:r w:rsidR="005009A4">
        <w:rPr>
          <w:sz w:val="22"/>
          <w:szCs w:val="22"/>
        </w:rPr>
        <w:t xml:space="preserve"> významnou část semestru.  </w:t>
      </w:r>
      <w:r w:rsidRPr="005A7CC2">
        <w:rPr>
          <w:sz w:val="22"/>
          <w:szCs w:val="22"/>
        </w:rPr>
        <w:t xml:space="preserve"> </w:t>
      </w:r>
    </w:p>
    <w:sectPr w:rsidR="003C7760" w:rsidRPr="005A7CC2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CC7" w14:textId="77777777" w:rsidR="008E09A0" w:rsidRDefault="008E09A0">
      <w:r>
        <w:separator/>
      </w:r>
    </w:p>
  </w:endnote>
  <w:endnote w:type="continuationSeparator" w:id="0">
    <w:p w14:paraId="1968F721" w14:textId="77777777" w:rsidR="008E09A0" w:rsidRDefault="008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BCF9" w14:textId="77777777" w:rsidR="008E09A0" w:rsidRDefault="008E09A0">
      <w:r>
        <w:separator/>
      </w:r>
    </w:p>
  </w:footnote>
  <w:footnote w:type="continuationSeparator" w:id="0">
    <w:p w14:paraId="4B256961" w14:textId="77777777" w:rsidR="008E09A0" w:rsidRDefault="008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A6"/>
    <w:multiLevelType w:val="hybridMultilevel"/>
    <w:tmpl w:val="6CEC097A"/>
    <w:lvl w:ilvl="0" w:tplc="C2F6D9B4">
      <w:start w:val="1"/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" w15:restartNumberingAfterBreak="0">
    <w:nsid w:val="05B23419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66926E3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0B7E1E00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7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33188A"/>
    <w:multiLevelType w:val="hybridMultilevel"/>
    <w:tmpl w:val="253AA3BA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0" w15:restartNumberingAfterBreak="0">
    <w:nsid w:val="130A19D5"/>
    <w:multiLevelType w:val="hybridMultilevel"/>
    <w:tmpl w:val="7BFCD51E"/>
    <w:lvl w:ilvl="0" w:tplc="490CDCCE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2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3" w15:restartNumberingAfterBreak="0">
    <w:nsid w:val="1A0743E4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C517C20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16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9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1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2FAE5F9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759BE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6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9F7E8A"/>
    <w:multiLevelType w:val="hybridMultilevel"/>
    <w:tmpl w:val="D1B47324"/>
    <w:lvl w:ilvl="0" w:tplc="05F00D8A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8" w15:restartNumberingAfterBreak="0">
    <w:nsid w:val="48D26397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9" w15:restartNumberingAfterBreak="0">
    <w:nsid w:val="4B3730EC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30" w15:restartNumberingAfterBreak="0">
    <w:nsid w:val="4B931B59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1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3" w15:restartNumberingAfterBreak="0">
    <w:nsid w:val="522C18E0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547015B5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5" w15:restartNumberingAfterBreak="0">
    <w:nsid w:val="569C6166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36" w15:restartNumberingAfterBreak="0">
    <w:nsid w:val="5B867F18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7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38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39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0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44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46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 w16cid:durableId="827675296">
    <w:abstractNumId w:val="39"/>
  </w:num>
  <w:num w:numId="2" w16cid:durableId="2108966234">
    <w:abstractNumId w:val="16"/>
  </w:num>
  <w:num w:numId="3" w16cid:durableId="1817410823">
    <w:abstractNumId w:val="22"/>
  </w:num>
  <w:num w:numId="4" w16cid:durableId="1426726577">
    <w:abstractNumId w:val="42"/>
  </w:num>
  <w:num w:numId="5" w16cid:durableId="346642713">
    <w:abstractNumId w:val="14"/>
  </w:num>
  <w:num w:numId="6" w16cid:durableId="1604074448">
    <w:abstractNumId w:val="4"/>
  </w:num>
  <w:num w:numId="7" w16cid:durableId="882403787">
    <w:abstractNumId w:val="31"/>
  </w:num>
  <w:num w:numId="8" w16cid:durableId="931163008">
    <w:abstractNumId w:val="43"/>
  </w:num>
  <w:num w:numId="9" w16cid:durableId="865947662">
    <w:abstractNumId w:val="9"/>
  </w:num>
  <w:num w:numId="10" w16cid:durableId="823279010">
    <w:abstractNumId w:val="1"/>
  </w:num>
  <w:num w:numId="11" w16cid:durableId="298341844">
    <w:abstractNumId w:val="45"/>
  </w:num>
  <w:num w:numId="12" w16cid:durableId="27529366">
    <w:abstractNumId w:val="12"/>
  </w:num>
  <w:num w:numId="13" w16cid:durableId="539590516">
    <w:abstractNumId w:val="20"/>
  </w:num>
  <w:num w:numId="14" w16cid:durableId="1493907452">
    <w:abstractNumId w:val="37"/>
  </w:num>
  <w:num w:numId="15" w16cid:durableId="280649656">
    <w:abstractNumId w:val="19"/>
  </w:num>
  <w:num w:numId="16" w16cid:durableId="1384718274">
    <w:abstractNumId w:val="26"/>
  </w:num>
  <w:num w:numId="17" w16cid:durableId="1404329131">
    <w:abstractNumId w:val="10"/>
  </w:num>
  <w:num w:numId="18" w16cid:durableId="132449870">
    <w:abstractNumId w:val="24"/>
  </w:num>
  <w:num w:numId="19" w16cid:durableId="1979067250">
    <w:abstractNumId w:val="17"/>
  </w:num>
  <w:num w:numId="20" w16cid:durableId="1068455983">
    <w:abstractNumId w:val="40"/>
  </w:num>
  <w:num w:numId="21" w16cid:durableId="1131707247">
    <w:abstractNumId w:val="32"/>
  </w:num>
  <w:num w:numId="22" w16cid:durableId="859515467">
    <w:abstractNumId w:val="30"/>
  </w:num>
  <w:num w:numId="23" w16cid:durableId="1440219389">
    <w:abstractNumId w:val="29"/>
  </w:num>
  <w:num w:numId="24" w16cid:durableId="1887528709">
    <w:abstractNumId w:val="21"/>
  </w:num>
  <w:num w:numId="25" w16cid:durableId="1614508792">
    <w:abstractNumId w:val="7"/>
  </w:num>
  <w:num w:numId="26" w16cid:durableId="2011175966">
    <w:abstractNumId w:val="41"/>
  </w:num>
  <w:num w:numId="27" w16cid:durableId="390886364">
    <w:abstractNumId w:val="36"/>
  </w:num>
  <w:num w:numId="28" w16cid:durableId="125855614">
    <w:abstractNumId w:val="6"/>
  </w:num>
  <w:num w:numId="29" w16cid:durableId="638732807">
    <w:abstractNumId w:val="8"/>
  </w:num>
  <w:num w:numId="30" w16cid:durableId="1520774853">
    <w:abstractNumId w:val="38"/>
  </w:num>
  <w:num w:numId="31" w16cid:durableId="64960308">
    <w:abstractNumId w:val="33"/>
  </w:num>
  <w:num w:numId="32" w16cid:durableId="78530798">
    <w:abstractNumId w:val="15"/>
  </w:num>
  <w:num w:numId="33" w16cid:durableId="149253048">
    <w:abstractNumId w:val="25"/>
  </w:num>
  <w:num w:numId="34" w16cid:durableId="1016691184">
    <w:abstractNumId w:val="2"/>
  </w:num>
  <w:num w:numId="35" w16cid:durableId="1917396441">
    <w:abstractNumId w:val="35"/>
  </w:num>
  <w:num w:numId="36" w16cid:durableId="160047598">
    <w:abstractNumId w:val="13"/>
  </w:num>
  <w:num w:numId="37" w16cid:durableId="133914310">
    <w:abstractNumId w:val="23"/>
  </w:num>
  <w:num w:numId="38" w16cid:durableId="827211561">
    <w:abstractNumId w:val="3"/>
  </w:num>
  <w:num w:numId="39" w16cid:durableId="534854627">
    <w:abstractNumId w:val="18"/>
  </w:num>
  <w:num w:numId="40" w16cid:durableId="8264868">
    <w:abstractNumId w:val="44"/>
  </w:num>
  <w:num w:numId="41" w16cid:durableId="648555484">
    <w:abstractNumId w:val="11"/>
  </w:num>
  <w:num w:numId="42" w16cid:durableId="1955205330">
    <w:abstractNumId w:val="28"/>
  </w:num>
  <w:num w:numId="43" w16cid:durableId="1884518272">
    <w:abstractNumId w:val="34"/>
  </w:num>
  <w:num w:numId="44" w16cid:durableId="1227884952">
    <w:abstractNumId w:val="5"/>
  </w:num>
  <w:num w:numId="45" w16cid:durableId="1281961349">
    <w:abstractNumId w:val="0"/>
  </w:num>
  <w:num w:numId="46" w16cid:durableId="351033560">
    <w:abstractNumId w:val="46"/>
  </w:num>
  <w:num w:numId="47" w16cid:durableId="188868561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NLEwNLc0MDAwNzBS0lEKTi0uzszPAykwqgUAA/E0VywAAAA="/>
  </w:docVars>
  <w:rsids>
    <w:rsidRoot w:val="001D1836"/>
    <w:rsid w:val="0000421E"/>
    <w:rsid w:val="00004835"/>
    <w:rsid w:val="00004B51"/>
    <w:rsid w:val="00005654"/>
    <w:rsid w:val="00006BF1"/>
    <w:rsid w:val="00006D7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DC9"/>
    <w:rsid w:val="00054474"/>
    <w:rsid w:val="00056FEB"/>
    <w:rsid w:val="00057957"/>
    <w:rsid w:val="00057FEC"/>
    <w:rsid w:val="000605E4"/>
    <w:rsid w:val="00062437"/>
    <w:rsid w:val="00062B28"/>
    <w:rsid w:val="00063C83"/>
    <w:rsid w:val="00071B82"/>
    <w:rsid w:val="000730FC"/>
    <w:rsid w:val="00073712"/>
    <w:rsid w:val="00073B89"/>
    <w:rsid w:val="0007456F"/>
    <w:rsid w:val="000750E3"/>
    <w:rsid w:val="00075110"/>
    <w:rsid w:val="00076B71"/>
    <w:rsid w:val="00077145"/>
    <w:rsid w:val="0007731E"/>
    <w:rsid w:val="00082240"/>
    <w:rsid w:val="00092647"/>
    <w:rsid w:val="00092FD7"/>
    <w:rsid w:val="00096FD5"/>
    <w:rsid w:val="000A0100"/>
    <w:rsid w:val="000A05B0"/>
    <w:rsid w:val="000A3426"/>
    <w:rsid w:val="000A3C55"/>
    <w:rsid w:val="000A5D2D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50B5C"/>
    <w:rsid w:val="001510A6"/>
    <w:rsid w:val="001512CC"/>
    <w:rsid w:val="00153BAD"/>
    <w:rsid w:val="001576C5"/>
    <w:rsid w:val="00163A07"/>
    <w:rsid w:val="001643BC"/>
    <w:rsid w:val="0016673C"/>
    <w:rsid w:val="00167056"/>
    <w:rsid w:val="00171873"/>
    <w:rsid w:val="00171E66"/>
    <w:rsid w:val="00172C11"/>
    <w:rsid w:val="00172CEC"/>
    <w:rsid w:val="00176A8F"/>
    <w:rsid w:val="00176B0A"/>
    <w:rsid w:val="00177C5F"/>
    <w:rsid w:val="00184821"/>
    <w:rsid w:val="0018554C"/>
    <w:rsid w:val="00191188"/>
    <w:rsid w:val="0019777D"/>
    <w:rsid w:val="001A1E84"/>
    <w:rsid w:val="001A32C5"/>
    <w:rsid w:val="001A32CF"/>
    <w:rsid w:val="001A38D3"/>
    <w:rsid w:val="001A3D23"/>
    <w:rsid w:val="001A522E"/>
    <w:rsid w:val="001A526D"/>
    <w:rsid w:val="001B05B5"/>
    <w:rsid w:val="001B16B1"/>
    <w:rsid w:val="001C56F8"/>
    <w:rsid w:val="001C5D25"/>
    <w:rsid w:val="001C6BD1"/>
    <w:rsid w:val="001D0FDD"/>
    <w:rsid w:val="001D1836"/>
    <w:rsid w:val="001D66F0"/>
    <w:rsid w:val="001E142E"/>
    <w:rsid w:val="001E2146"/>
    <w:rsid w:val="001E3BB3"/>
    <w:rsid w:val="001E590A"/>
    <w:rsid w:val="001F28AA"/>
    <w:rsid w:val="001F354B"/>
    <w:rsid w:val="00201496"/>
    <w:rsid w:val="00202A05"/>
    <w:rsid w:val="002047FA"/>
    <w:rsid w:val="002049C6"/>
    <w:rsid w:val="00206F53"/>
    <w:rsid w:val="00214BD4"/>
    <w:rsid w:val="0021627F"/>
    <w:rsid w:val="00225F09"/>
    <w:rsid w:val="00226CF7"/>
    <w:rsid w:val="00227B86"/>
    <w:rsid w:val="00240C0F"/>
    <w:rsid w:val="0024171F"/>
    <w:rsid w:val="00251DB5"/>
    <w:rsid w:val="00254061"/>
    <w:rsid w:val="0025563C"/>
    <w:rsid w:val="002563E6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91A5A"/>
    <w:rsid w:val="002924B3"/>
    <w:rsid w:val="0029287C"/>
    <w:rsid w:val="00294493"/>
    <w:rsid w:val="00296201"/>
    <w:rsid w:val="002A0037"/>
    <w:rsid w:val="002A233E"/>
    <w:rsid w:val="002A3317"/>
    <w:rsid w:val="002A3688"/>
    <w:rsid w:val="002A6B41"/>
    <w:rsid w:val="002A6EB3"/>
    <w:rsid w:val="002A7A88"/>
    <w:rsid w:val="002B1575"/>
    <w:rsid w:val="002B1907"/>
    <w:rsid w:val="002B1CAC"/>
    <w:rsid w:val="002B2914"/>
    <w:rsid w:val="002B3FCD"/>
    <w:rsid w:val="002B71E9"/>
    <w:rsid w:val="002B74CD"/>
    <w:rsid w:val="002C31B6"/>
    <w:rsid w:val="002C320A"/>
    <w:rsid w:val="002C35F4"/>
    <w:rsid w:val="002C4311"/>
    <w:rsid w:val="002D07E8"/>
    <w:rsid w:val="002D4985"/>
    <w:rsid w:val="002D79A4"/>
    <w:rsid w:val="002E36CD"/>
    <w:rsid w:val="002E36D8"/>
    <w:rsid w:val="002E5387"/>
    <w:rsid w:val="002F7617"/>
    <w:rsid w:val="0030715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308D1"/>
    <w:rsid w:val="00332A0F"/>
    <w:rsid w:val="003402B9"/>
    <w:rsid w:val="00342C84"/>
    <w:rsid w:val="00343B7B"/>
    <w:rsid w:val="00345A7E"/>
    <w:rsid w:val="003519AB"/>
    <w:rsid w:val="00351EBB"/>
    <w:rsid w:val="00352D7C"/>
    <w:rsid w:val="00357C5E"/>
    <w:rsid w:val="00363371"/>
    <w:rsid w:val="003659C8"/>
    <w:rsid w:val="00365AFB"/>
    <w:rsid w:val="00366F1C"/>
    <w:rsid w:val="00370764"/>
    <w:rsid w:val="003751FD"/>
    <w:rsid w:val="00382588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42B6"/>
    <w:rsid w:val="003B42E6"/>
    <w:rsid w:val="003B6304"/>
    <w:rsid w:val="003B7FB4"/>
    <w:rsid w:val="003C01E7"/>
    <w:rsid w:val="003C15D1"/>
    <w:rsid w:val="003C3612"/>
    <w:rsid w:val="003C433C"/>
    <w:rsid w:val="003C7760"/>
    <w:rsid w:val="003D0BFB"/>
    <w:rsid w:val="003D3975"/>
    <w:rsid w:val="003D5AAD"/>
    <w:rsid w:val="003D6B3B"/>
    <w:rsid w:val="003E0603"/>
    <w:rsid w:val="003E0F27"/>
    <w:rsid w:val="003E2194"/>
    <w:rsid w:val="003E5A7B"/>
    <w:rsid w:val="003E5F1D"/>
    <w:rsid w:val="003F0A75"/>
    <w:rsid w:val="003F243F"/>
    <w:rsid w:val="003F279F"/>
    <w:rsid w:val="003F4C8A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1AA4"/>
    <w:rsid w:val="00423658"/>
    <w:rsid w:val="0042378E"/>
    <w:rsid w:val="00425389"/>
    <w:rsid w:val="00425FD3"/>
    <w:rsid w:val="00426C80"/>
    <w:rsid w:val="004347A9"/>
    <w:rsid w:val="00435874"/>
    <w:rsid w:val="00437546"/>
    <w:rsid w:val="004375A0"/>
    <w:rsid w:val="00437F29"/>
    <w:rsid w:val="004435D6"/>
    <w:rsid w:val="00453952"/>
    <w:rsid w:val="00457741"/>
    <w:rsid w:val="004578C1"/>
    <w:rsid w:val="00461693"/>
    <w:rsid w:val="0046208E"/>
    <w:rsid w:val="0047046A"/>
    <w:rsid w:val="00470815"/>
    <w:rsid w:val="004713E2"/>
    <w:rsid w:val="00472416"/>
    <w:rsid w:val="00472660"/>
    <w:rsid w:val="004743CE"/>
    <w:rsid w:val="00475188"/>
    <w:rsid w:val="00475904"/>
    <w:rsid w:val="00476E44"/>
    <w:rsid w:val="00483F45"/>
    <w:rsid w:val="00490531"/>
    <w:rsid w:val="00494DD3"/>
    <w:rsid w:val="00496BCF"/>
    <w:rsid w:val="00497C30"/>
    <w:rsid w:val="004A2489"/>
    <w:rsid w:val="004A3B48"/>
    <w:rsid w:val="004A74BE"/>
    <w:rsid w:val="004B1129"/>
    <w:rsid w:val="004B737C"/>
    <w:rsid w:val="004C06C7"/>
    <w:rsid w:val="004C5774"/>
    <w:rsid w:val="004C6581"/>
    <w:rsid w:val="004D10D6"/>
    <w:rsid w:val="004D7AF6"/>
    <w:rsid w:val="004E1C31"/>
    <w:rsid w:val="004E1F63"/>
    <w:rsid w:val="004E366A"/>
    <w:rsid w:val="004E4B7C"/>
    <w:rsid w:val="004E5FB2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17E"/>
    <w:rsid w:val="00521A88"/>
    <w:rsid w:val="00524496"/>
    <w:rsid w:val="005273AD"/>
    <w:rsid w:val="00530FCB"/>
    <w:rsid w:val="0054164F"/>
    <w:rsid w:val="00544976"/>
    <w:rsid w:val="00545AB9"/>
    <w:rsid w:val="00546350"/>
    <w:rsid w:val="005472CD"/>
    <w:rsid w:val="00550443"/>
    <w:rsid w:val="00550F96"/>
    <w:rsid w:val="00553DF6"/>
    <w:rsid w:val="005634C0"/>
    <w:rsid w:val="00564869"/>
    <w:rsid w:val="005666C6"/>
    <w:rsid w:val="005673D7"/>
    <w:rsid w:val="00571FC9"/>
    <w:rsid w:val="005737CE"/>
    <w:rsid w:val="00573EDB"/>
    <w:rsid w:val="00577CD5"/>
    <w:rsid w:val="0058127F"/>
    <w:rsid w:val="00581DE8"/>
    <w:rsid w:val="00585FBD"/>
    <w:rsid w:val="00586C85"/>
    <w:rsid w:val="00591121"/>
    <w:rsid w:val="00594391"/>
    <w:rsid w:val="00594AAE"/>
    <w:rsid w:val="005A103E"/>
    <w:rsid w:val="005A2023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7E"/>
    <w:rsid w:val="005D2F61"/>
    <w:rsid w:val="005D61F2"/>
    <w:rsid w:val="005D6DE9"/>
    <w:rsid w:val="005E598E"/>
    <w:rsid w:val="005E720E"/>
    <w:rsid w:val="005E7ED9"/>
    <w:rsid w:val="005F06F6"/>
    <w:rsid w:val="005F1AE4"/>
    <w:rsid w:val="005F2B4A"/>
    <w:rsid w:val="005F38D8"/>
    <w:rsid w:val="005F3E82"/>
    <w:rsid w:val="005F4D15"/>
    <w:rsid w:val="005F71F0"/>
    <w:rsid w:val="006053CE"/>
    <w:rsid w:val="0061350C"/>
    <w:rsid w:val="00617506"/>
    <w:rsid w:val="0061764E"/>
    <w:rsid w:val="00617CD1"/>
    <w:rsid w:val="006220E8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53218"/>
    <w:rsid w:val="00654800"/>
    <w:rsid w:val="00654D9A"/>
    <w:rsid w:val="00655227"/>
    <w:rsid w:val="00660C95"/>
    <w:rsid w:val="0066283A"/>
    <w:rsid w:val="006647AD"/>
    <w:rsid w:val="0066598C"/>
    <w:rsid w:val="006679AD"/>
    <w:rsid w:val="00681949"/>
    <w:rsid w:val="00684D35"/>
    <w:rsid w:val="00684F55"/>
    <w:rsid w:val="00685ADA"/>
    <w:rsid w:val="00690956"/>
    <w:rsid w:val="00694D97"/>
    <w:rsid w:val="00696BF1"/>
    <w:rsid w:val="006A0BAB"/>
    <w:rsid w:val="006A2157"/>
    <w:rsid w:val="006A4C59"/>
    <w:rsid w:val="006A5B65"/>
    <w:rsid w:val="006B38D3"/>
    <w:rsid w:val="006C0ED9"/>
    <w:rsid w:val="006C18DE"/>
    <w:rsid w:val="006C30B5"/>
    <w:rsid w:val="006C3A59"/>
    <w:rsid w:val="006C66B3"/>
    <w:rsid w:val="006D0538"/>
    <w:rsid w:val="006D276B"/>
    <w:rsid w:val="006D3465"/>
    <w:rsid w:val="006D5D48"/>
    <w:rsid w:val="006D6E95"/>
    <w:rsid w:val="006F23BB"/>
    <w:rsid w:val="006F7D6A"/>
    <w:rsid w:val="00703EBF"/>
    <w:rsid w:val="00705270"/>
    <w:rsid w:val="00705757"/>
    <w:rsid w:val="00707BDA"/>
    <w:rsid w:val="0071360E"/>
    <w:rsid w:val="00714E6E"/>
    <w:rsid w:val="00715274"/>
    <w:rsid w:val="00717878"/>
    <w:rsid w:val="007222FF"/>
    <w:rsid w:val="00727A44"/>
    <w:rsid w:val="00733518"/>
    <w:rsid w:val="0073382D"/>
    <w:rsid w:val="00733C55"/>
    <w:rsid w:val="00735323"/>
    <w:rsid w:val="007353FE"/>
    <w:rsid w:val="00741A87"/>
    <w:rsid w:val="0074274B"/>
    <w:rsid w:val="007460CE"/>
    <w:rsid w:val="0074660C"/>
    <w:rsid w:val="007518B9"/>
    <w:rsid w:val="00757956"/>
    <w:rsid w:val="0076146C"/>
    <w:rsid w:val="00765052"/>
    <w:rsid w:val="007654B5"/>
    <w:rsid w:val="0076564F"/>
    <w:rsid w:val="00767DC8"/>
    <w:rsid w:val="00771F2D"/>
    <w:rsid w:val="00783CFC"/>
    <w:rsid w:val="00784052"/>
    <w:rsid w:val="007960FC"/>
    <w:rsid w:val="00796D71"/>
    <w:rsid w:val="007A1D5A"/>
    <w:rsid w:val="007A26DA"/>
    <w:rsid w:val="007A3EB1"/>
    <w:rsid w:val="007B7D15"/>
    <w:rsid w:val="007C2364"/>
    <w:rsid w:val="007C474F"/>
    <w:rsid w:val="007D0960"/>
    <w:rsid w:val="007D0EB4"/>
    <w:rsid w:val="007D4D44"/>
    <w:rsid w:val="007E5C78"/>
    <w:rsid w:val="007E7C88"/>
    <w:rsid w:val="007F0765"/>
    <w:rsid w:val="007F2328"/>
    <w:rsid w:val="007F5D48"/>
    <w:rsid w:val="00800A77"/>
    <w:rsid w:val="00801C51"/>
    <w:rsid w:val="00802CEF"/>
    <w:rsid w:val="00804797"/>
    <w:rsid w:val="0080681D"/>
    <w:rsid w:val="00807936"/>
    <w:rsid w:val="00807F90"/>
    <w:rsid w:val="00811579"/>
    <w:rsid w:val="008157E3"/>
    <w:rsid w:val="00817C48"/>
    <w:rsid w:val="008250FD"/>
    <w:rsid w:val="008251D2"/>
    <w:rsid w:val="00825225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53861"/>
    <w:rsid w:val="0086234C"/>
    <w:rsid w:val="0086493C"/>
    <w:rsid w:val="008670A7"/>
    <w:rsid w:val="00872676"/>
    <w:rsid w:val="008735A4"/>
    <w:rsid w:val="00876078"/>
    <w:rsid w:val="00881857"/>
    <w:rsid w:val="00881A67"/>
    <w:rsid w:val="00883AEB"/>
    <w:rsid w:val="00884106"/>
    <w:rsid w:val="0088797F"/>
    <w:rsid w:val="00887A6F"/>
    <w:rsid w:val="00887E60"/>
    <w:rsid w:val="008920C7"/>
    <w:rsid w:val="00896DF1"/>
    <w:rsid w:val="008A0B59"/>
    <w:rsid w:val="008B6C54"/>
    <w:rsid w:val="008C641C"/>
    <w:rsid w:val="008D29B2"/>
    <w:rsid w:val="008D3009"/>
    <w:rsid w:val="008D3C47"/>
    <w:rsid w:val="008E09A0"/>
    <w:rsid w:val="008E1408"/>
    <w:rsid w:val="008E175C"/>
    <w:rsid w:val="008E2305"/>
    <w:rsid w:val="008E3CE3"/>
    <w:rsid w:val="008E4317"/>
    <w:rsid w:val="008E4BD8"/>
    <w:rsid w:val="008E538C"/>
    <w:rsid w:val="008F4382"/>
    <w:rsid w:val="008F788C"/>
    <w:rsid w:val="00901E25"/>
    <w:rsid w:val="00904F22"/>
    <w:rsid w:val="00905400"/>
    <w:rsid w:val="00906684"/>
    <w:rsid w:val="009072DB"/>
    <w:rsid w:val="009120B9"/>
    <w:rsid w:val="00912727"/>
    <w:rsid w:val="009205CB"/>
    <w:rsid w:val="00921EF2"/>
    <w:rsid w:val="009257A5"/>
    <w:rsid w:val="00927333"/>
    <w:rsid w:val="00927F3F"/>
    <w:rsid w:val="009339F0"/>
    <w:rsid w:val="0093442C"/>
    <w:rsid w:val="00940CE5"/>
    <w:rsid w:val="00947B9E"/>
    <w:rsid w:val="00952A52"/>
    <w:rsid w:val="009548FC"/>
    <w:rsid w:val="00957622"/>
    <w:rsid w:val="009627C5"/>
    <w:rsid w:val="009630D3"/>
    <w:rsid w:val="009642E8"/>
    <w:rsid w:val="00971023"/>
    <w:rsid w:val="00975170"/>
    <w:rsid w:val="009771FF"/>
    <w:rsid w:val="0098670E"/>
    <w:rsid w:val="00993717"/>
    <w:rsid w:val="00993935"/>
    <w:rsid w:val="009959CD"/>
    <w:rsid w:val="0099710C"/>
    <w:rsid w:val="009A325C"/>
    <w:rsid w:val="009A3B3B"/>
    <w:rsid w:val="009B40B2"/>
    <w:rsid w:val="009B64DE"/>
    <w:rsid w:val="009B70B8"/>
    <w:rsid w:val="009C552C"/>
    <w:rsid w:val="009D2575"/>
    <w:rsid w:val="009E1AF9"/>
    <w:rsid w:val="009E7012"/>
    <w:rsid w:val="009E7EE6"/>
    <w:rsid w:val="009F12DF"/>
    <w:rsid w:val="009F19F4"/>
    <w:rsid w:val="009F2C6B"/>
    <w:rsid w:val="009F3EB3"/>
    <w:rsid w:val="009F6A06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30DF7"/>
    <w:rsid w:val="00A34BB4"/>
    <w:rsid w:val="00A35709"/>
    <w:rsid w:val="00A36170"/>
    <w:rsid w:val="00A376B5"/>
    <w:rsid w:val="00A40DCC"/>
    <w:rsid w:val="00A4776E"/>
    <w:rsid w:val="00A5203C"/>
    <w:rsid w:val="00A5639D"/>
    <w:rsid w:val="00A57A20"/>
    <w:rsid w:val="00A6058B"/>
    <w:rsid w:val="00A6321E"/>
    <w:rsid w:val="00A65C5A"/>
    <w:rsid w:val="00A7371A"/>
    <w:rsid w:val="00A77511"/>
    <w:rsid w:val="00A8587F"/>
    <w:rsid w:val="00A86097"/>
    <w:rsid w:val="00A86F4B"/>
    <w:rsid w:val="00A875B9"/>
    <w:rsid w:val="00A87E3A"/>
    <w:rsid w:val="00A9177A"/>
    <w:rsid w:val="00A92267"/>
    <w:rsid w:val="00A94C73"/>
    <w:rsid w:val="00A964BA"/>
    <w:rsid w:val="00A96CD6"/>
    <w:rsid w:val="00A971B9"/>
    <w:rsid w:val="00A97334"/>
    <w:rsid w:val="00A97F7E"/>
    <w:rsid w:val="00AA0342"/>
    <w:rsid w:val="00AA1A34"/>
    <w:rsid w:val="00AA40C3"/>
    <w:rsid w:val="00AB0839"/>
    <w:rsid w:val="00AB7A1D"/>
    <w:rsid w:val="00AB7B41"/>
    <w:rsid w:val="00AC1C61"/>
    <w:rsid w:val="00AC326B"/>
    <w:rsid w:val="00AC3533"/>
    <w:rsid w:val="00AC706F"/>
    <w:rsid w:val="00AD2507"/>
    <w:rsid w:val="00AD3C9C"/>
    <w:rsid w:val="00AD5D00"/>
    <w:rsid w:val="00AE2C1F"/>
    <w:rsid w:val="00AE2FE6"/>
    <w:rsid w:val="00AE5292"/>
    <w:rsid w:val="00AE57B1"/>
    <w:rsid w:val="00AE66EF"/>
    <w:rsid w:val="00AE79B1"/>
    <w:rsid w:val="00AF1859"/>
    <w:rsid w:val="00AF2305"/>
    <w:rsid w:val="00AF3D92"/>
    <w:rsid w:val="00AF4C81"/>
    <w:rsid w:val="00AF7673"/>
    <w:rsid w:val="00B0133F"/>
    <w:rsid w:val="00B01BCA"/>
    <w:rsid w:val="00B0238F"/>
    <w:rsid w:val="00B0794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24D3"/>
    <w:rsid w:val="00B52516"/>
    <w:rsid w:val="00B53CEF"/>
    <w:rsid w:val="00B55ACD"/>
    <w:rsid w:val="00B55BEF"/>
    <w:rsid w:val="00B61609"/>
    <w:rsid w:val="00B64DB7"/>
    <w:rsid w:val="00B66B05"/>
    <w:rsid w:val="00B7239B"/>
    <w:rsid w:val="00B72551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1E16"/>
    <w:rsid w:val="00C33796"/>
    <w:rsid w:val="00C35457"/>
    <w:rsid w:val="00C36770"/>
    <w:rsid w:val="00C371EC"/>
    <w:rsid w:val="00C37784"/>
    <w:rsid w:val="00C37F61"/>
    <w:rsid w:val="00C417AD"/>
    <w:rsid w:val="00C4409C"/>
    <w:rsid w:val="00C45F28"/>
    <w:rsid w:val="00C469F2"/>
    <w:rsid w:val="00C5075C"/>
    <w:rsid w:val="00C50FEB"/>
    <w:rsid w:val="00C52C08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5DA7"/>
    <w:rsid w:val="00C76830"/>
    <w:rsid w:val="00C80CF4"/>
    <w:rsid w:val="00C81C68"/>
    <w:rsid w:val="00C83BA6"/>
    <w:rsid w:val="00C84C92"/>
    <w:rsid w:val="00C860C9"/>
    <w:rsid w:val="00C90BF9"/>
    <w:rsid w:val="00C94E45"/>
    <w:rsid w:val="00C95085"/>
    <w:rsid w:val="00C95A6F"/>
    <w:rsid w:val="00CA05C7"/>
    <w:rsid w:val="00CA19BF"/>
    <w:rsid w:val="00CA28C4"/>
    <w:rsid w:val="00CA74D3"/>
    <w:rsid w:val="00CB0EFD"/>
    <w:rsid w:val="00CB2C48"/>
    <w:rsid w:val="00CB555D"/>
    <w:rsid w:val="00CC2577"/>
    <w:rsid w:val="00CC51D9"/>
    <w:rsid w:val="00CC53B6"/>
    <w:rsid w:val="00CC5B21"/>
    <w:rsid w:val="00CD08F2"/>
    <w:rsid w:val="00CD13F1"/>
    <w:rsid w:val="00CD3688"/>
    <w:rsid w:val="00CD444B"/>
    <w:rsid w:val="00CD6A11"/>
    <w:rsid w:val="00CD6E44"/>
    <w:rsid w:val="00CE0F46"/>
    <w:rsid w:val="00CE1BFA"/>
    <w:rsid w:val="00CE3BBF"/>
    <w:rsid w:val="00CE3E17"/>
    <w:rsid w:val="00CE4E78"/>
    <w:rsid w:val="00CE51CD"/>
    <w:rsid w:val="00CE539E"/>
    <w:rsid w:val="00CF00C1"/>
    <w:rsid w:val="00CF3909"/>
    <w:rsid w:val="00CF4A5A"/>
    <w:rsid w:val="00CF4DB9"/>
    <w:rsid w:val="00CF5CFD"/>
    <w:rsid w:val="00CF6378"/>
    <w:rsid w:val="00CF74CE"/>
    <w:rsid w:val="00D058D2"/>
    <w:rsid w:val="00D05B20"/>
    <w:rsid w:val="00D11873"/>
    <w:rsid w:val="00D22FE0"/>
    <w:rsid w:val="00D25531"/>
    <w:rsid w:val="00D25F5B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55E4"/>
    <w:rsid w:val="00D472A7"/>
    <w:rsid w:val="00D51728"/>
    <w:rsid w:val="00D535C6"/>
    <w:rsid w:val="00D53A89"/>
    <w:rsid w:val="00D651FE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69CB"/>
    <w:rsid w:val="00DA17C0"/>
    <w:rsid w:val="00DA1C59"/>
    <w:rsid w:val="00DA1E0C"/>
    <w:rsid w:val="00DA25EB"/>
    <w:rsid w:val="00DA273B"/>
    <w:rsid w:val="00DA31B9"/>
    <w:rsid w:val="00DA5181"/>
    <w:rsid w:val="00DA65BD"/>
    <w:rsid w:val="00DA6A14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193E"/>
    <w:rsid w:val="00E6210F"/>
    <w:rsid w:val="00E648A6"/>
    <w:rsid w:val="00E665B8"/>
    <w:rsid w:val="00E72CE7"/>
    <w:rsid w:val="00E72FBF"/>
    <w:rsid w:val="00E76096"/>
    <w:rsid w:val="00E76361"/>
    <w:rsid w:val="00E84336"/>
    <w:rsid w:val="00E85DE0"/>
    <w:rsid w:val="00E86364"/>
    <w:rsid w:val="00E869AA"/>
    <w:rsid w:val="00E92658"/>
    <w:rsid w:val="00E963FE"/>
    <w:rsid w:val="00E96B33"/>
    <w:rsid w:val="00EA09FB"/>
    <w:rsid w:val="00EA159F"/>
    <w:rsid w:val="00EA1F86"/>
    <w:rsid w:val="00EA558E"/>
    <w:rsid w:val="00EA5651"/>
    <w:rsid w:val="00EA5895"/>
    <w:rsid w:val="00EA60E4"/>
    <w:rsid w:val="00EA6A79"/>
    <w:rsid w:val="00EA7BB6"/>
    <w:rsid w:val="00EB1DA6"/>
    <w:rsid w:val="00EB24C9"/>
    <w:rsid w:val="00EB2F29"/>
    <w:rsid w:val="00EB7F76"/>
    <w:rsid w:val="00EC3206"/>
    <w:rsid w:val="00EC4B5F"/>
    <w:rsid w:val="00EC5EE9"/>
    <w:rsid w:val="00ED1930"/>
    <w:rsid w:val="00ED7DE9"/>
    <w:rsid w:val="00EE0621"/>
    <w:rsid w:val="00EE1910"/>
    <w:rsid w:val="00EE3012"/>
    <w:rsid w:val="00EE64AE"/>
    <w:rsid w:val="00EF2EB1"/>
    <w:rsid w:val="00EF7762"/>
    <w:rsid w:val="00F00F30"/>
    <w:rsid w:val="00F030E9"/>
    <w:rsid w:val="00F032B0"/>
    <w:rsid w:val="00F115E0"/>
    <w:rsid w:val="00F1273D"/>
    <w:rsid w:val="00F172A8"/>
    <w:rsid w:val="00F241CA"/>
    <w:rsid w:val="00F251BF"/>
    <w:rsid w:val="00F32A9B"/>
    <w:rsid w:val="00F35430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7638"/>
    <w:rsid w:val="00F72E1A"/>
    <w:rsid w:val="00F731B4"/>
    <w:rsid w:val="00F73B7F"/>
    <w:rsid w:val="00F7589A"/>
    <w:rsid w:val="00F761A1"/>
    <w:rsid w:val="00F77BAE"/>
    <w:rsid w:val="00F808B0"/>
    <w:rsid w:val="00F84C89"/>
    <w:rsid w:val="00F85936"/>
    <w:rsid w:val="00F87075"/>
    <w:rsid w:val="00F915FB"/>
    <w:rsid w:val="00F91E36"/>
    <w:rsid w:val="00F95706"/>
    <w:rsid w:val="00F95797"/>
    <w:rsid w:val="00FA314A"/>
    <w:rsid w:val="00FA4084"/>
    <w:rsid w:val="00FA4EA8"/>
    <w:rsid w:val="00FA5628"/>
    <w:rsid w:val="00FA59B9"/>
    <w:rsid w:val="00FB2FDE"/>
    <w:rsid w:val="00FB4983"/>
    <w:rsid w:val="00FB516D"/>
    <w:rsid w:val="00FC1990"/>
    <w:rsid w:val="00FC3561"/>
    <w:rsid w:val="00FC5029"/>
    <w:rsid w:val="00FC5701"/>
    <w:rsid w:val="00FD1250"/>
    <w:rsid w:val="00FD2171"/>
    <w:rsid w:val="00FD39AF"/>
    <w:rsid w:val="00FD3F8E"/>
    <w:rsid w:val="00FD76B8"/>
    <w:rsid w:val="00FE363B"/>
    <w:rsid w:val="00FE47C2"/>
    <w:rsid w:val="00FE7106"/>
    <w:rsid w:val="00FF270E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FC877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ie">
    <w:name w:val="Marginálie"/>
    <w:basedOn w:val="Normal"/>
    <w:next w:val="Normal"/>
    <w:pPr>
      <w:framePr w:w="1247" w:wrap="auto" w:vAnchor="text" w:hAnchor="margin" w:x="-1417" w:y="1"/>
      <w:spacing w:after="0"/>
      <w:jc w:val="left"/>
    </w:pPr>
    <w:rPr>
      <w:i/>
    </w:rPr>
  </w:style>
  <w:style w:type="paragraph" w:styleId="Caption">
    <w:name w:val="caption"/>
    <w:basedOn w:val="Normal"/>
    <w:next w:val="Normal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202A05"/>
    <w:rPr>
      <w:color w:val="800080"/>
      <w:u w:val="single"/>
    </w:rPr>
  </w:style>
  <w:style w:type="character" w:customStyle="1" w:styleId="Heading4Char">
    <w:name w:val="Heading 4 Char"/>
    <w:link w:val="Heading4"/>
    <w:rsid w:val="00B966FA"/>
    <w:rPr>
      <w:b/>
      <w:sz w:val="22"/>
    </w:rPr>
  </w:style>
  <w:style w:type="paragraph" w:styleId="BalloonText">
    <w:name w:val="Balloon Text"/>
    <w:basedOn w:val="Normal"/>
    <w:link w:val="BalloonText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C61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973D-6592-48AF-9FC9-9CDBDB4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2007</Words>
  <Characters>11846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Harmonogram 2019/2020 LS</vt:lpstr>
      <vt:lpstr>Harmonogram 2019/2020 ZS</vt:lpstr>
    </vt:vector>
  </TitlesOfParts>
  <Company>VŠE</Company>
  <LinksUpToDate>false</LinksUpToDate>
  <CharactersWithSpaces>13826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2019/2020 LS</dc:title>
  <dc:subject/>
  <dc:creator>Marik</dc:creator>
  <cp:keywords/>
  <dc:description/>
  <cp:lastModifiedBy>Long Pham</cp:lastModifiedBy>
  <cp:revision>39</cp:revision>
  <cp:lastPrinted>2019-09-18T17:01:00Z</cp:lastPrinted>
  <dcterms:created xsi:type="dcterms:W3CDTF">2020-02-13T20:29:00Z</dcterms:created>
  <dcterms:modified xsi:type="dcterms:W3CDTF">2023-09-17T10:33:00Z</dcterms:modified>
</cp:coreProperties>
</file>