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1FP303 · Případová studie „Rychlé občerstvení ve třech účetních rámcích“ · Kontrolní otázky</w:t>
      </w:r>
    </w:p>
    <w:p>
      <w:pPr>
        <w:spacing w:after="10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Jméno / skupina: ______________________   U každé otázky zakroužkujte jednu odpověď. Otázky 13–14 zadává cvičící až po diskusi o roce 2023 u české firmy.</w:t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</w:t>
      </w:r>
      <w:r>
        <w:rPr>
          <w:rFonts w:ascii="Arial" w:cs="Arial" w:eastAsia="Arial" w:hAnsi="Arial"/>
          <w:sz w:val="20"/>
          <w:szCs w:val="20"/>
        </w:rPr>
        <w:t xml:space="preserve">Kterou vztažnou veličinu lze pro vertikální analýzu rozvahy použít u McDonald's (US GAAP), AmRest (IFRS) i RYCHLÉ KUCHYNĚ CZ (CZ GAAP) bez jakékoli úpravy?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Aktiva celkem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Tržby restaurací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Vlastní kapitál celkem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Cizí zdroje celkem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</w:t>
      </w:r>
      <w:r>
        <w:rPr>
          <w:rFonts w:ascii="Arial" w:cs="Arial" w:eastAsia="Arial" w:hAnsi="Arial"/>
          <w:sz w:val="20"/>
          <w:szCs w:val="20"/>
        </w:rPr>
        <w:t xml:space="preserve">Podíl nákladů na potraviny na výnosech celkem činí u McDonald's (2024) 11,6 %, u AmRest 25,7 % a u RYCHLÉ KUCHYNĚ CZ 36,5 %. Které vysvětlení rozdílu McDonald's vs. ostatní je nejsprávnější?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McDonald's nakupuje díky velikosti levněji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Ve výnosech McDonald's je 61 % nájemného a licenčních poplatků od franšízantů, ke kterým žádné náklady na potraviny nepatří – vztažná veličina není srovnatelná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US GAAP nedovoluje vykazovat část nákladů na potraviny v provozních nákladech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Rozdíl je způsoben měnou (USD vs. EUR vs. Kč)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</w:t>
      </w:r>
      <w:r>
        <w:rPr>
          <w:rFonts w:ascii="Arial" w:cs="Arial" w:eastAsia="Arial" w:hAnsi="Arial"/>
          <w:sz w:val="20"/>
          <w:szCs w:val="20"/>
        </w:rPr>
        <w:t xml:space="preserve">Aktiva z práva užívání tvoří u AmRest cca 38 % aktiv, u McDonald's cca 24 % a u RYCHLÉ KUCHYNĚ CZ 0 %. Nulová hodnota u české firmy znamená: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Firma vlastní všechny provozovny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České účetní předpisy operativní nájem v rozvaze nevykazují; nájemné je pouze nákladem ve Službách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Firma nemá žádné nájemní smlouvy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Chybu v datovém souboru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</w:t>
      </w:r>
      <w:r>
        <w:rPr>
          <w:rFonts w:ascii="Arial" w:cs="Arial" w:eastAsia="Arial" w:hAnsi="Arial"/>
          <w:sz w:val="20"/>
          <w:szCs w:val="20"/>
        </w:rPr>
        <w:t xml:space="preserve">Bazický index výnosů McDonald's 2024 k roku 2019 je 1,213; relativní změna 2019→2020 byla −10,1 %. Které tvrzení je správné?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Výnosy rostly každý rok sledovaného období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Index nelze počítat bez přepočtu kurzem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Výnosy 2024 jsou o 21,3 % nad úrovní 2019, přestože v roce 2020 poklesly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Průměrné roční tempo růstu je 21,3 %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</w:t>
      </w:r>
      <w:r>
        <w:rPr>
          <w:rFonts w:ascii="Arial" w:cs="Arial" w:eastAsia="Arial" w:hAnsi="Arial"/>
          <w:sz w:val="20"/>
          <w:szCs w:val="20"/>
        </w:rPr>
        <w:t xml:space="preserve">Vlastní kapitál McDonald's je k 31. 12. 2024 záporný (−3 797 mil. USD, −6,9 % aktiv). Hlavní příčinou je: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Odpis goodwillu po prodeji ruského podnikání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Kumulované ztráty z minulých let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Vlastní akcie nakoupené za 77,4 mld. USD odečtené od vlastního kapitálu, zatímco nerozdělený zisk je 66,8 mld. USD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Přecenění leasingových závazků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</w:t>
      </w:r>
      <w:r>
        <w:rPr>
          <w:rFonts w:ascii="Arial" w:cs="Arial" w:eastAsia="Arial" w:hAnsi="Arial"/>
          <w:sz w:val="20"/>
          <w:szCs w:val="20"/>
        </w:rPr>
        <w:t xml:space="preserve">Výsledek za období AmRest vzrostl z 6,6 mil. EUR (2022) na 50,9 mil. EUR (2023), tj. o 671 %. Co by měl analytik v horizontální analýze uvést?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Jde o prudké zlepšení provozní výkonnosti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Rok 2022 obsahuje snížení hodnoty ruského podnikání 52,9 mil. EUR a rok 2023 zisk z ukončovaných činností 6,5 mil. EUR – bez komentáře k jednorázovým položkám je změna zavádějící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Nic – výsledek za období je vždy srovnatelný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Změna je způsobena kurzem EUR/PLN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</w:t>
      </w:r>
      <w:r>
        <w:rPr>
          <w:rFonts w:ascii="Arial" w:cs="Arial" w:eastAsia="Arial" w:hAnsi="Arial"/>
          <w:sz w:val="20"/>
          <w:szCs w:val="20"/>
        </w:rPr>
        <w:t xml:space="preserve">Chcete porovnat „nájemní zátěž“ RYCHLÉ KUCHYNĚ CZ (nájemné ve Službách) s AmRest. Co u AmRest sečtete jako nejbližší protějšek nákladu na nájem?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Odpisy aktiv z práva užívání + úrokový náklad z leasingových závazků (příloha: cca 147 + 38 mil. EUR v roce 2024)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Pouze odpisy aktiv z práva užívání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Occupancy, depreciation and other operating expenses + General and administrative expenses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Leasingové závazky / výnosy celkem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</w:t>
      </w:r>
      <w:r>
        <w:rPr>
          <w:rFonts w:ascii="Arial" w:cs="Arial" w:eastAsia="Arial" w:hAnsi="Arial"/>
          <w:sz w:val="20"/>
          <w:szCs w:val="20"/>
        </w:rPr>
        <w:t xml:space="preserve">Výkaz zisku a ztráty AmRest je členěn podle funkce (náklady restaurací, franšízové náklady, správní náklady), VZZ RYCHLÉ KUCHYNĚ CZ podle druhu. Jaký to má důsledek pro vertikální analýzu?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Odpisy a osobní náklady AmRest lze přečíst přímo z výkazu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Druhové členění neumožňuje spočítat provozní marži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Obě členění dávají stejné řádky, liší se jen pořadím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Druhové položky (odpisy, osobní náklady, energie) u AmRest lze zjistit jen z přílohy (note 7 „costs by nature“)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</w:t>
      </w:r>
      <w:r>
        <w:rPr>
          <w:rFonts w:ascii="Arial" w:cs="Arial" w:eastAsia="Arial" w:hAnsi="Arial"/>
          <w:sz w:val="20"/>
          <w:szCs w:val="20"/>
        </w:rPr>
        <w:t xml:space="preserve">AmRest 2022: výsledek za období 6,6 mil. EUR, z toho akcionáři mateřské společnosti 1,3 mil. a nekontrolní podíly 5,3 mil. Pro vertikální analýzu ziskovosti z pohledu akcionáře mateřské společnosti použijete: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5,3 mil. EUR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6,6 mil. EUR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6,6 mil. EUR minus daň z příjmů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1,3 mil. EUR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10. </w:t>
      </w:r>
      <w:r>
        <w:rPr>
          <w:rFonts w:ascii="Arial" w:cs="Arial" w:eastAsia="Arial" w:hAnsi="Arial"/>
          <w:sz w:val="20"/>
          <w:szCs w:val="20"/>
        </w:rPr>
        <w:t xml:space="preserve">Odpisy (podle výkazu CF) činí u McDonald's 8,1 % výnosů, u AmRest 10,2 % a u RYCHLÉ KUCHYNĚ CZ 3,9 %. Které tvrzení je nejlépe obhajitelné?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Odpisy nelze srovnávat kvůli různým měnám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Rozdíl je z velké části dán rámcem: u IFRS/US GAAP odpisy obsahují i odpisy práva užívání (AmRest 147 mil. EUR z 260), u CZ firmy je ekvivalent „odpisu nájmu“ ve Službách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AmRest investuje nejvíce ze všech tří firem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Česká firma má nejnovější vybavení, proto odepisuje nejméně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11. </w:t>
      </w:r>
      <w:r>
        <w:rPr>
          <w:rFonts w:ascii="Arial" w:cs="Arial" w:eastAsia="Arial" w:hAnsi="Arial"/>
          <w:sz w:val="20"/>
          <w:szCs w:val="20"/>
        </w:rPr>
        <w:t xml:space="preserve">Dlouhodobý dluh McDonald's tvoří cca 70 % aktiv a leasingové závazky dalších cca 24 %. Při posuzování struktury pasiv analytik: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Leasingové závazky nikdy do cizího kapitálu nezahrnuje, protože nejde o dluh vůči bance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Musí rozhodnout, zda leasingové závazky do „cizího kapitálu“ zahrne, a volbu zdokumentovat; při srovnání s CZ firmou musí vědět, že tam obdoba chybí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Může leasingové závazky ignorovat, protože CZ GAAP je vykazuje totožně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Počítá zadluženost pouze z krátkodobých závazků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12. </w:t>
      </w:r>
      <w:r>
        <w:rPr>
          <w:rFonts w:ascii="Arial" w:cs="Arial" w:eastAsia="Arial" w:hAnsi="Arial"/>
          <w:sz w:val="20"/>
          <w:szCs w:val="20"/>
        </w:rPr>
        <w:t xml:space="preserve">Horizontální analýza – které tvrzení o indexech je správné? (Terminologie: ověřte podle učebnice kurzu.)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Bazický index měří kumulovanou změnu proti zvolenému výchozímu roku, řetězový index změnu proti bezprostředně předchozímu roku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Bazický index vyžaduje průměrné stavy rozvahových položek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Řetězový index měří změnu proti pevně zvolenému výchozímu roku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Oba indexy jsou totožné, liší se jen znaménkem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13. </w:t>
      </w:r>
      <w:r>
        <w:rPr>
          <w:rFonts w:ascii="Arial" w:cs="Arial" w:eastAsia="Arial" w:hAnsi="Arial"/>
          <w:sz w:val="20"/>
          <w:szCs w:val="20"/>
        </w:rPr>
        <w:t xml:space="preserve">RYCHLÁ KUCHYNĚ CZ 2022→2023: Stavby +107 %, Pozemky z 0 na 45 mil. Kč, dlouhodobé závazky k úvěrovým institucím +280 %, Služby poklesly z 24 % na 22 % tržeb, odpisy a úroky vzrostly. Nejpravděpodobnější událost: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Přechod na vykazování podle IFRS 16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Prodej části restaurací franšízantům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Nákup dosud pronajatých nemovitostí financovaný bankovním úvěrem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Fúze s dodavatelem potravin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14. </w:t>
      </w:r>
      <w:r>
        <w:rPr>
          <w:rFonts w:ascii="Arial" w:cs="Arial" w:eastAsia="Arial" w:hAnsi="Arial"/>
          <w:sz w:val="20"/>
          <w:szCs w:val="20"/>
        </w:rPr>
        <w:t xml:space="preserve">Kdyby stejnou transakci (koupi dosud pronajatých provozoven na úvěr) provedla firma vykazující podle IFRS 16, vertikální struktura její rozvahy by se: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A) Změnila stejně dramaticky jako u české firmy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B) Nezměnila vůbec, protože IFRS nemovitosti neodepisuje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C) Změnila jen málo – aktivum z práva užívání a leasingový závazek se přesunou do pozemků, budov a zařízení a do bankovního úvěru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   D) Změnila pouze na straně pasiv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2026-09-25T18:13:29.598Z</dcterms:created>
  <dcterms:modified xsi:type="dcterms:W3CDTF">2026-09-25T18:13:29.599Z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